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6E" w:rsidRDefault="00F340F4" w:rsidP="00C02A3A">
      <w:pPr>
        <w:spacing w:before="1200"/>
        <w:jc w:val="center"/>
        <w:rPr>
          <w:rFonts w:eastAsia="平成明朝"/>
          <w:b/>
          <w:sz w:val="36"/>
          <w:szCs w:val="24"/>
        </w:rPr>
      </w:pPr>
      <w:r>
        <w:rPr>
          <w:rFonts w:eastAsia="平成明朝"/>
          <w:b/>
          <w:sz w:val="36"/>
          <w:szCs w:val="24"/>
        </w:rPr>
        <w:t>Studies of the</w:t>
      </w:r>
      <w:r w:rsidR="00AB528A" w:rsidRPr="002A6F3F">
        <w:rPr>
          <w:rFonts w:eastAsia="平成明朝"/>
          <w:b/>
          <w:sz w:val="36"/>
          <w:szCs w:val="24"/>
        </w:rPr>
        <w:t xml:space="preserve"> Helicon Plasma Source </w:t>
      </w:r>
    </w:p>
    <w:p w:rsidR="0079316A" w:rsidRPr="0079316A" w:rsidRDefault="00F340F4" w:rsidP="0079316A">
      <w:pPr>
        <w:jc w:val="center"/>
        <w:rPr>
          <w:rFonts w:eastAsia="平成明朝"/>
          <w:b/>
          <w:sz w:val="36"/>
          <w:szCs w:val="24"/>
        </w:rPr>
      </w:pPr>
      <w:proofErr w:type="gramStart"/>
      <w:r>
        <w:rPr>
          <w:rFonts w:eastAsia="平成明朝"/>
          <w:b/>
          <w:sz w:val="36"/>
          <w:szCs w:val="24"/>
        </w:rPr>
        <w:t>w</w:t>
      </w:r>
      <w:r w:rsidR="00AB528A" w:rsidRPr="002A6F3F">
        <w:rPr>
          <w:rFonts w:eastAsia="平成明朝"/>
          <w:b/>
          <w:sz w:val="36"/>
          <w:szCs w:val="24"/>
        </w:rPr>
        <w:t>ith</w:t>
      </w:r>
      <w:proofErr w:type="gramEnd"/>
      <w:r w:rsidR="00AB528A" w:rsidRPr="002A6F3F">
        <w:rPr>
          <w:rFonts w:eastAsia="平成明朝"/>
          <w:b/>
          <w:sz w:val="36"/>
          <w:szCs w:val="24"/>
        </w:rPr>
        <w:t xml:space="preserve"> Inhomogeneous Magnetic Field</w:t>
      </w:r>
    </w:p>
    <w:p w:rsidR="00A34230" w:rsidRDefault="00AB528A" w:rsidP="00C35746">
      <w:pPr>
        <w:widowControl w:val="0"/>
        <w:spacing w:before="360"/>
        <w:jc w:val="center"/>
        <w:rPr>
          <w:rFonts w:eastAsia="MS Mincho"/>
          <w:kern w:val="2"/>
          <w:sz w:val="28"/>
          <w:szCs w:val="24"/>
          <w:lang w:eastAsia="ja-JP"/>
        </w:rPr>
      </w:pPr>
      <w:r w:rsidRPr="002A6F3F">
        <w:rPr>
          <w:rFonts w:eastAsia="MS Mincho"/>
          <w:kern w:val="2"/>
          <w:sz w:val="28"/>
          <w:szCs w:val="24"/>
          <w:lang w:eastAsia="ja-JP"/>
        </w:rPr>
        <w:t>I.V.Shikhvotsev</w:t>
      </w:r>
      <w:r>
        <w:rPr>
          <w:rFonts w:eastAsia="MS Mincho"/>
          <w:kern w:val="2"/>
          <w:sz w:val="28"/>
          <w:szCs w:val="24"/>
          <w:vertAlign w:val="superscript"/>
          <w:lang w:eastAsia="ja-JP"/>
        </w:rPr>
        <w:t>1</w:t>
      </w:r>
      <w:proofErr w:type="gramStart"/>
      <w:r>
        <w:rPr>
          <w:rFonts w:eastAsia="MS Mincho"/>
          <w:kern w:val="2"/>
          <w:sz w:val="28"/>
          <w:szCs w:val="24"/>
          <w:vertAlign w:val="superscript"/>
          <w:lang w:eastAsia="ja-JP"/>
        </w:rPr>
        <w:t>,2</w:t>
      </w:r>
      <w:proofErr w:type="gramEnd"/>
      <w:r>
        <w:rPr>
          <w:rFonts w:eastAsia="MS Mincho"/>
          <w:kern w:val="2"/>
          <w:sz w:val="28"/>
          <w:szCs w:val="24"/>
          <w:vertAlign w:val="superscript"/>
          <w:lang w:eastAsia="ja-JP"/>
        </w:rPr>
        <w:t>, a)</w:t>
      </w:r>
      <w:r w:rsidRPr="002A6F3F">
        <w:rPr>
          <w:rFonts w:eastAsia="MS Mincho"/>
          <w:kern w:val="2"/>
          <w:sz w:val="28"/>
          <w:szCs w:val="24"/>
          <w:lang w:eastAsia="ja-JP"/>
        </w:rPr>
        <w:t>, V.I.Davydenko</w:t>
      </w:r>
      <w:r>
        <w:rPr>
          <w:rFonts w:eastAsia="MS Mincho"/>
          <w:kern w:val="2"/>
          <w:sz w:val="28"/>
          <w:szCs w:val="24"/>
          <w:vertAlign w:val="superscript"/>
          <w:lang w:eastAsia="ja-JP"/>
        </w:rPr>
        <w:t>1,2</w:t>
      </w:r>
      <w:r w:rsidRPr="002A6F3F">
        <w:rPr>
          <w:rFonts w:eastAsia="MS Mincho"/>
          <w:kern w:val="2"/>
          <w:sz w:val="28"/>
          <w:szCs w:val="24"/>
          <w:lang w:eastAsia="ja-JP"/>
        </w:rPr>
        <w:t>, A.A.Ivanov</w:t>
      </w:r>
      <w:r>
        <w:rPr>
          <w:rFonts w:eastAsia="MS Mincho"/>
          <w:kern w:val="2"/>
          <w:sz w:val="28"/>
          <w:szCs w:val="24"/>
          <w:vertAlign w:val="superscript"/>
          <w:lang w:eastAsia="ja-JP"/>
        </w:rPr>
        <w:t>1,2</w:t>
      </w:r>
      <w:r w:rsidRPr="002A6F3F">
        <w:rPr>
          <w:rFonts w:eastAsia="MS Mincho"/>
          <w:kern w:val="2"/>
          <w:sz w:val="28"/>
          <w:szCs w:val="24"/>
          <w:lang w:eastAsia="ja-JP"/>
        </w:rPr>
        <w:t>, I.A.Kotelnikov</w:t>
      </w:r>
      <w:r>
        <w:rPr>
          <w:rFonts w:eastAsia="MS Mincho"/>
          <w:kern w:val="2"/>
          <w:sz w:val="28"/>
          <w:szCs w:val="24"/>
          <w:vertAlign w:val="superscript"/>
          <w:lang w:eastAsia="ja-JP"/>
        </w:rPr>
        <w:t>1,2</w:t>
      </w:r>
      <w:r w:rsidRPr="002A6F3F">
        <w:rPr>
          <w:rFonts w:eastAsia="MS Mincho"/>
          <w:kern w:val="2"/>
          <w:sz w:val="28"/>
          <w:szCs w:val="24"/>
          <w:lang w:eastAsia="ja-JP"/>
        </w:rPr>
        <w:t>,</w:t>
      </w:r>
    </w:p>
    <w:p w:rsidR="00AB528A" w:rsidRPr="002A6F3F" w:rsidRDefault="00AB528A" w:rsidP="00C35746">
      <w:pPr>
        <w:widowControl w:val="0"/>
        <w:jc w:val="center"/>
        <w:rPr>
          <w:rFonts w:eastAsia="MS Mincho"/>
          <w:kern w:val="2"/>
          <w:sz w:val="28"/>
          <w:szCs w:val="24"/>
          <w:lang w:eastAsia="ja-JP"/>
        </w:rPr>
      </w:pPr>
      <w:r w:rsidRPr="002A6F3F">
        <w:rPr>
          <w:rFonts w:eastAsia="MS Mincho"/>
          <w:kern w:val="2"/>
          <w:sz w:val="28"/>
          <w:szCs w:val="24"/>
          <w:lang w:eastAsia="ja-JP"/>
        </w:rPr>
        <w:t>E.I.Kuzmin</w:t>
      </w:r>
      <w:r>
        <w:rPr>
          <w:rFonts w:eastAsia="MS Mincho"/>
          <w:kern w:val="2"/>
          <w:sz w:val="28"/>
          <w:szCs w:val="24"/>
          <w:vertAlign w:val="superscript"/>
          <w:lang w:eastAsia="ja-JP"/>
        </w:rPr>
        <w:t>1</w:t>
      </w:r>
      <w:proofErr w:type="gramStart"/>
      <w:r>
        <w:rPr>
          <w:rFonts w:eastAsia="MS Mincho"/>
          <w:kern w:val="2"/>
          <w:sz w:val="28"/>
          <w:szCs w:val="24"/>
          <w:vertAlign w:val="superscript"/>
          <w:lang w:eastAsia="ja-JP"/>
        </w:rPr>
        <w:t>,2</w:t>
      </w:r>
      <w:proofErr w:type="gramEnd"/>
      <w:r w:rsidRPr="002A6F3F">
        <w:rPr>
          <w:rFonts w:eastAsia="MS Mincho"/>
          <w:kern w:val="2"/>
          <w:sz w:val="28"/>
          <w:szCs w:val="24"/>
          <w:lang w:eastAsia="ja-JP"/>
        </w:rPr>
        <w:t>, A.Kreter</w:t>
      </w:r>
      <w:r>
        <w:rPr>
          <w:rFonts w:eastAsia="MS Mincho"/>
          <w:kern w:val="2"/>
          <w:sz w:val="28"/>
          <w:szCs w:val="24"/>
          <w:vertAlign w:val="superscript"/>
          <w:lang w:eastAsia="ja-JP"/>
        </w:rPr>
        <w:t>3</w:t>
      </w:r>
      <w:r w:rsidRPr="002A6F3F">
        <w:rPr>
          <w:rFonts w:eastAsia="MS Mincho"/>
          <w:kern w:val="2"/>
          <w:sz w:val="28"/>
          <w:szCs w:val="24"/>
          <w:lang w:eastAsia="ja-JP"/>
        </w:rPr>
        <w:t>, V.V.Mishagin</w:t>
      </w:r>
      <w:r>
        <w:rPr>
          <w:rFonts w:eastAsia="MS Mincho"/>
          <w:kern w:val="2"/>
          <w:sz w:val="28"/>
          <w:szCs w:val="24"/>
          <w:vertAlign w:val="superscript"/>
          <w:lang w:eastAsia="ja-JP"/>
        </w:rPr>
        <w:t>1</w:t>
      </w:r>
      <w:r w:rsidRPr="002A6F3F">
        <w:rPr>
          <w:rFonts w:eastAsia="MS Mincho"/>
          <w:kern w:val="2"/>
          <w:sz w:val="28"/>
          <w:szCs w:val="24"/>
          <w:lang w:eastAsia="ja-JP"/>
        </w:rPr>
        <w:t>, A.N.Selivanov</w:t>
      </w:r>
      <w:r>
        <w:rPr>
          <w:rFonts w:eastAsia="MS Mincho"/>
          <w:kern w:val="2"/>
          <w:sz w:val="28"/>
          <w:szCs w:val="24"/>
          <w:vertAlign w:val="superscript"/>
          <w:lang w:eastAsia="ja-JP"/>
        </w:rPr>
        <w:t>1</w:t>
      </w:r>
      <w:r w:rsidRPr="002A6F3F">
        <w:rPr>
          <w:rFonts w:eastAsia="MS Mincho"/>
          <w:kern w:val="2"/>
          <w:sz w:val="28"/>
          <w:szCs w:val="24"/>
          <w:lang w:eastAsia="ja-JP"/>
        </w:rPr>
        <w:t>, P.A.Selivanov</w:t>
      </w:r>
      <w:r>
        <w:rPr>
          <w:rFonts w:eastAsia="MS Mincho"/>
          <w:kern w:val="2"/>
          <w:sz w:val="28"/>
          <w:szCs w:val="24"/>
          <w:vertAlign w:val="superscript"/>
          <w:lang w:eastAsia="ja-JP"/>
        </w:rPr>
        <w:t>1</w:t>
      </w:r>
      <w:r w:rsidRPr="002A6F3F">
        <w:rPr>
          <w:rFonts w:eastAsia="MS Mincho"/>
          <w:kern w:val="2"/>
          <w:sz w:val="28"/>
          <w:szCs w:val="24"/>
          <w:lang w:eastAsia="ja-JP"/>
        </w:rPr>
        <w:t xml:space="preserve">, </w:t>
      </w:r>
      <w:r>
        <w:rPr>
          <w:rFonts w:eastAsia="MS Mincho"/>
          <w:kern w:val="2"/>
          <w:sz w:val="28"/>
          <w:szCs w:val="24"/>
          <w:lang w:eastAsia="ja-JP"/>
        </w:rPr>
        <w:t xml:space="preserve">     </w:t>
      </w:r>
      <w:r w:rsidRPr="002A6F3F">
        <w:rPr>
          <w:rFonts w:eastAsia="MS Mincho"/>
          <w:kern w:val="2"/>
          <w:sz w:val="28"/>
          <w:szCs w:val="24"/>
          <w:lang w:eastAsia="ja-JP"/>
        </w:rPr>
        <w:t>R.V.Voskoboynikov</w:t>
      </w:r>
      <w:r>
        <w:rPr>
          <w:rFonts w:eastAsia="MS Mincho"/>
          <w:kern w:val="2"/>
          <w:sz w:val="28"/>
          <w:szCs w:val="24"/>
          <w:vertAlign w:val="superscript"/>
          <w:lang w:eastAsia="ja-JP"/>
        </w:rPr>
        <w:t>1,2</w:t>
      </w:r>
      <w:r w:rsidRPr="002A6F3F">
        <w:rPr>
          <w:rFonts w:eastAsia="MS Mincho"/>
          <w:kern w:val="2"/>
          <w:sz w:val="28"/>
          <w:szCs w:val="24"/>
          <w:lang w:eastAsia="ja-JP"/>
        </w:rPr>
        <w:t>, B.Unterberg</w:t>
      </w:r>
      <w:r>
        <w:rPr>
          <w:rFonts w:eastAsia="MS Mincho"/>
          <w:kern w:val="2"/>
          <w:sz w:val="28"/>
          <w:szCs w:val="24"/>
          <w:vertAlign w:val="superscript"/>
          <w:lang w:eastAsia="ja-JP"/>
        </w:rPr>
        <w:t>3</w:t>
      </w:r>
      <w:r w:rsidRPr="002A6F3F">
        <w:rPr>
          <w:rFonts w:eastAsia="MS Mincho"/>
          <w:kern w:val="2"/>
          <w:sz w:val="28"/>
          <w:szCs w:val="24"/>
          <w:lang w:eastAsia="ja-JP"/>
        </w:rPr>
        <w:t>, V.A.Karelin</w:t>
      </w:r>
      <w:r>
        <w:rPr>
          <w:rFonts w:eastAsia="MS Mincho"/>
          <w:kern w:val="2"/>
          <w:sz w:val="28"/>
          <w:szCs w:val="24"/>
          <w:vertAlign w:val="superscript"/>
          <w:lang w:eastAsia="ja-JP"/>
        </w:rPr>
        <w:t>1</w:t>
      </w:r>
      <w:r w:rsidRPr="002A6F3F">
        <w:rPr>
          <w:rFonts w:eastAsia="MS Mincho"/>
          <w:kern w:val="2"/>
          <w:sz w:val="28"/>
          <w:szCs w:val="24"/>
          <w:lang w:eastAsia="ja-JP"/>
        </w:rPr>
        <w:t>, E.E.Bambutsa</w:t>
      </w:r>
      <w:r>
        <w:rPr>
          <w:rFonts w:eastAsia="MS Mincho"/>
          <w:kern w:val="2"/>
          <w:sz w:val="28"/>
          <w:szCs w:val="24"/>
          <w:vertAlign w:val="superscript"/>
          <w:lang w:eastAsia="ja-JP"/>
        </w:rPr>
        <w:t>1</w:t>
      </w:r>
    </w:p>
    <w:p w:rsidR="00AB528A" w:rsidRPr="002A6F3F" w:rsidRDefault="00AB528A" w:rsidP="00AB528A">
      <w:pPr>
        <w:widowControl w:val="0"/>
        <w:jc w:val="center"/>
        <w:rPr>
          <w:rFonts w:eastAsia="MS Mincho"/>
          <w:i/>
          <w:kern w:val="2"/>
          <w:sz w:val="20"/>
          <w:szCs w:val="24"/>
          <w:lang w:eastAsia="ja-JP"/>
        </w:rPr>
      </w:pPr>
      <w:r w:rsidRPr="008F0A92">
        <w:rPr>
          <w:rFonts w:eastAsia="平成明朝"/>
          <w:kern w:val="2"/>
          <w:sz w:val="20"/>
          <w:szCs w:val="24"/>
          <w:vertAlign w:val="superscript"/>
          <w:lang w:eastAsia="ja-JP"/>
        </w:rPr>
        <w:t>1</w:t>
      </w:r>
      <w:r w:rsidRPr="002A6F3F">
        <w:rPr>
          <w:rFonts w:eastAsia="MS Mincho"/>
          <w:i/>
          <w:kern w:val="2"/>
          <w:sz w:val="20"/>
          <w:szCs w:val="24"/>
          <w:lang w:eastAsia="ja-JP"/>
        </w:rPr>
        <w:t>Budker Institute of Nuclear Physics SB RAS, Novosibirsk, Russia</w:t>
      </w:r>
    </w:p>
    <w:p w:rsidR="00AB528A" w:rsidRPr="002A6F3F" w:rsidRDefault="00AB528A" w:rsidP="00AB528A">
      <w:pPr>
        <w:widowControl w:val="0"/>
        <w:jc w:val="center"/>
        <w:rPr>
          <w:rFonts w:eastAsia="MS Mincho"/>
          <w:i/>
          <w:kern w:val="2"/>
          <w:sz w:val="20"/>
          <w:szCs w:val="24"/>
          <w:lang w:eastAsia="ja-JP"/>
        </w:rPr>
      </w:pPr>
      <w:proofErr w:type="gramStart"/>
      <w:r w:rsidRPr="008F0A92">
        <w:rPr>
          <w:rFonts w:eastAsia="MS Mincho"/>
          <w:kern w:val="2"/>
          <w:sz w:val="20"/>
          <w:szCs w:val="24"/>
          <w:vertAlign w:val="superscript"/>
          <w:lang w:eastAsia="ja-JP"/>
        </w:rPr>
        <w:t>2</w:t>
      </w:r>
      <w:proofErr w:type="gramEnd"/>
      <w:r w:rsidRPr="002A6F3F">
        <w:rPr>
          <w:rFonts w:eastAsia="MS Mincho"/>
          <w:i/>
          <w:kern w:val="2"/>
          <w:sz w:val="20"/>
          <w:szCs w:val="24"/>
          <w:lang w:eastAsia="ja-JP"/>
        </w:rPr>
        <w:t xml:space="preserve"> Novosibirsk State University, Novosibirsk, Russia </w:t>
      </w:r>
    </w:p>
    <w:p w:rsidR="00AB528A" w:rsidRDefault="00AB528A" w:rsidP="00AB528A">
      <w:pPr>
        <w:pStyle w:val="a9"/>
        <w:keepNext/>
        <w:spacing w:before="0" w:beforeAutospacing="0" w:after="0" w:afterAutospacing="0"/>
        <w:jc w:val="center"/>
        <w:rPr>
          <w:rFonts w:eastAsia="MS Mincho"/>
          <w:i/>
          <w:kern w:val="2"/>
          <w:sz w:val="20"/>
          <w:lang w:val="en-US" w:eastAsia="ja-JP"/>
        </w:rPr>
      </w:pPr>
      <w:r w:rsidRPr="008F0A92">
        <w:rPr>
          <w:rFonts w:eastAsia="MS Mincho"/>
          <w:kern w:val="2"/>
          <w:sz w:val="20"/>
          <w:vertAlign w:val="superscript"/>
          <w:lang w:val="en-US" w:eastAsia="ja-JP"/>
        </w:rPr>
        <w:t>3</w:t>
      </w:r>
      <w:r w:rsidRPr="002A6F3F">
        <w:rPr>
          <w:rFonts w:eastAsia="MS Mincho"/>
          <w:i/>
          <w:kern w:val="2"/>
          <w:sz w:val="20"/>
          <w:lang w:val="en-US" w:eastAsia="ja-JP"/>
        </w:rPr>
        <w:t xml:space="preserve">FZ </w:t>
      </w:r>
      <w:proofErr w:type="spellStart"/>
      <w:r w:rsidRPr="002A6F3F">
        <w:rPr>
          <w:rFonts w:eastAsia="MS Mincho"/>
          <w:i/>
          <w:kern w:val="2"/>
          <w:sz w:val="20"/>
          <w:lang w:val="en-US" w:eastAsia="ja-JP"/>
        </w:rPr>
        <w:t>Juelich</w:t>
      </w:r>
      <w:proofErr w:type="spellEnd"/>
      <w:r w:rsidRPr="002A6F3F">
        <w:rPr>
          <w:rFonts w:eastAsia="MS Mincho"/>
          <w:i/>
          <w:kern w:val="2"/>
          <w:sz w:val="20"/>
          <w:lang w:val="en-US" w:eastAsia="ja-JP"/>
        </w:rPr>
        <w:t>, Germany</w:t>
      </w:r>
    </w:p>
    <w:p w:rsidR="0079316A" w:rsidRPr="0079316A" w:rsidRDefault="0079316A" w:rsidP="00AB528A">
      <w:pPr>
        <w:pStyle w:val="a9"/>
        <w:keepNext/>
        <w:spacing w:before="0" w:beforeAutospacing="0" w:after="0" w:afterAutospacing="0"/>
        <w:jc w:val="center"/>
        <w:rPr>
          <w:rFonts w:eastAsiaTheme="minorHAnsi"/>
          <w:sz w:val="20"/>
          <w:szCs w:val="20"/>
          <w:lang w:val="en-US" w:eastAsia="en-US"/>
        </w:rPr>
      </w:pPr>
    </w:p>
    <w:p w:rsidR="00AB528A" w:rsidRPr="0079316A" w:rsidRDefault="00AB528A" w:rsidP="00AB528A">
      <w:pPr>
        <w:ind w:firstLine="567"/>
        <w:jc w:val="center"/>
        <w:rPr>
          <w:sz w:val="20"/>
        </w:rPr>
      </w:pPr>
      <w:proofErr w:type="gramStart"/>
      <w:r w:rsidRPr="0079316A">
        <w:rPr>
          <w:sz w:val="20"/>
          <w:vertAlign w:val="superscript"/>
        </w:rPr>
        <w:t>a)</w:t>
      </w:r>
      <w:proofErr w:type="gramEnd"/>
      <w:r w:rsidRPr="0079316A">
        <w:rPr>
          <w:sz w:val="20"/>
        </w:rPr>
        <w:t>Corresponding author: I.V.Shikhovtsev@inp.nsk.su</w:t>
      </w:r>
    </w:p>
    <w:p w:rsidR="00AB528A" w:rsidRPr="008F0A92" w:rsidRDefault="00AB528A" w:rsidP="00A045CB">
      <w:pPr>
        <w:spacing w:before="360" w:after="360"/>
        <w:ind w:firstLine="567"/>
        <w:jc w:val="both"/>
        <w:rPr>
          <w:i/>
          <w:sz w:val="18"/>
          <w:szCs w:val="24"/>
        </w:rPr>
      </w:pPr>
      <w:r w:rsidRPr="008F0A92">
        <w:rPr>
          <w:b/>
          <w:sz w:val="18"/>
        </w:rPr>
        <w:t>Abstract.</w:t>
      </w:r>
      <w:r w:rsidRPr="008F0A92">
        <w:rPr>
          <w:i/>
          <w:sz w:val="18"/>
        </w:rPr>
        <w:t xml:space="preserve"> </w:t>
      </w:r>
      <w:r w:rsidRPr="008F0A92">
        <w:rPr>
          <w:sz w:val="18"/>
        </w:rPr>
        <w:t xml:space="preserve">The development of fusion facilities urges a search for materials resilient to plasma interaction. For simulations of plasma-material </w:t>
      </w:r>
      <w:proofErr w:type="gramStart"/>
      <w:r w:rsidRPr="008F0A92">
        <w:rPr>
          <w:sz w:val="18"/>
        </w:rPr>
        <w:t>interaction</w:t>
      </w:r>
      <w:proofErr w:type="gramEnd"/>
      <w:r w:rsidRPr="008F0A92">
        <w:rPr>
          <w:sz w:val="18"/>
        </w:rPr>
        <w:t xml:space="preserve"> a source of steady-state plasma is needed with sufficiently large plasma density at the level of </w:t>
      </w:r>
      <w:r w:rsidR="00FE2DF4" w:rsidRPr="00FE2DF4">
        <w:rPr>
          <w:sz w:val="18"/>
        </w:rPr>
        <w:t xml:space="preserve">  </w:t>
      </w:r>
      <w:r w:rsidRPr="008F0A92">
        <w:rPr>
          <w:sz w:val="18"/>
        </w:rPr>
        <w:t>10</w:t>
      </w:r>
      <w:r w:rsidRPr="008F0A92">
        <w:rPr>
          <w:sz w:val="18"/>
          <w:vertAlign w:val="superscript"/>
        </w:rPr>
        <w:t>13</w:t>
      </w:r>
      <w:r w:rsidRPr="008F0A92">
        <w:rPr>
          <w:sz w:val="18"/>
        </w:rPr>
        <w:t xml:space="preserve"> cm</w:t>
      </w:r>
      <w:r w:rsidRPr="008F0A92">
        <w:rPr>
          <w:sz w:val="18"/>
          <w:vertAlign w:val="superscript"/>
        </w:rPr>
        <w:t>-3</w:t>
      </w:r>
      <w:r w:rsidRPr="008F0A92">
        <w:rPr>
          <w:sz w:val="18"/>
        </w:rPr>
        <w:t xml:space="preserve"> at least. A helicon plasma source was developed at the </w:t>
      </w:r>
      <w:proofErr w:type="spellStart"/>
      <w:r w:rsidRPr="008F0A92">
        <w:rPr>
          <w:sz w:val="18"/>
        </w:rPr>
        <w:t>Budker</w:t>
      </w:r>
      <w:proofErr w:type="spellEnd"/>
      <w:r w:rsidRPr="008F0A92">
        <w:rPr>
          <w:sz w:val="18"/>
        </w:rPr>
        <w:t xml:space="preserve"> Institute of Nuclear Physics SB RAS as a prototype of a powerful plasma source for f</w:t>
      </w:r>
      <w:r w:rsidR="00FF6CFD">
        <w:rPr>
          <w:sz w:val="18"/>
        </w:rPr>
        <w:t>uture use in linear plasma devices</w:t>
      </w:r>
      <w:r w:rsidRPr="008F0A92">
        <w:rPr>
          <w:sz w:val="18"/>
        </w:rPr>
        <w:t xml:space="preserve"> for simulation of plasma-material interaction. </w:t>
      </w:r>
      <w:r w:rsidRPr="008F0A92">
        <w:rPr>
          <w:sz w:val="18"/>
          <w:szCs w:val="24"/>
        </w:rPr>
        <w:t xml:space="preserve">Using Nagoya-type-III antenna hydrogen plasma is produced at 13.56 MHz frequency and with RF power up to 5 kW inside a quartz discharge chamber of 108 mm outer diameter and 400 mm axial length. Five coils installed outside the discharge chamber produce the magnetic field with two maxima at the ends of the chamber. The </w:t>
      </w:r>
      <w:r w:rsidRPr="008F0A92">
        <w:rPr>
          <w:sz w:val="18"/>
        </w:rPr>
        <w:t xml:space="preserve">efficiency of the plasma production and the plasma density distribution are very sensitive to the geometry and strength of the magnetic field.  </w:t>
      </w:r>
      <w:r w:rsidRPr="008F0A92">
        <w:rPr>
          <w:sz w:val="18"/>
          <w:szCs w:val="24"/>
        </w:rPr>
        <w:t xml:space="preserve">In this paper, the </w:t>
      </w:r>
      <w:r w:rsidR="00FF6CFD">
        <w:rPr>
          <w:sz w:val="18"/>
          <w:szCs w:val="24"/>
        </w:rPr>
        <w:t xml:space="preserve">results of the measurements of </w:t>
      </w:r>
      <w:r w:rsidRPr="008F0A92">
        <w:rPr>
          <w:sz w:val="18"/>
          <w:szCs w:val="24"/>
        </w:rPr>
        <w:t>radial</w:t>
      </w:r>
      <w:r w:rsidR="00FF6CFD">
        <w:rPr>
          <w:sz w:val="18"/>
          <w:szCs w:val="24"/>
        </w:rPr>
        <w:t xml:space="preserve"> plasma density</w:t>
      </w:r>
      <w:r w:rsidRPr="008F0A92">
        <w:rPr>
          <w:sz w:val="18"/>
          <w:szCs w:val="24"/>
        </w:rPr>
        <w:t xml:space="preserve"> profiles and </w:t>
      </w:r>
      <w:r w:rsidR="00FF6CFD">
        <w:rPr>
          <w:sz w:val="18"/>
          <w:szCs w:val="24"/>
        </w:rPr>
        <w:t xml:space="preserve">the </w:t>
      </w:r>
      <w:r w:rsidRPr="008F0A92">
        <w:rPr>
          <w:sz w:val="18"/>
          <w:szCs w:val="24"/>
        </w:rPr>
        <w:t xml:space="preserve">electron temperature are </w:t>
      </w:r>
      <w:r w:rsidR="00FF6CFD">
        <w:rPr>
          <w:sz w:val="18"/>
          <w:szCs w:val="24"/>
        </w:rPr>
        <w:t>presented</w:t>
      </w:r>
      <w:r w:rsidRPr="008F0A92">
        <w:rPr>
          <w:sz w:val="18"/>
          <w:szCs w:val="24"/>
        </w:rPr>
        <w:t xml:space="preserve">. Their dependence </w:t>
      </w:r>
      <w:r w:rsidR="00FF6CFD">
        <w:rPr>
          <w:sz w:val="18"/>
          <w:szCs w:val="24"/>
        </w:rPr>
        <w:t>upon</w:t>
      </w:r>
      <w:r w:rsidRPr="008F0A92">
        <w:rPr>
          <w:sz w:val="18"/>
          <w:szCs w:val="24"/>
        </w:rPr>
        <w:t xml:space="preserve"> the RF power, magnetic field geometry and strength, and gas pressure is discussed.</w:t>
      </w:r>
      <w:r w:rsidR="00FF6CFD">
        <w:rPr>
          <w:i/>
          <w:sz w:val="18"/>
          <w:szCs w:val="24"/>
        </w:rPr>
        <w:t xml:space="preserve"> </w:t>
      </w:r>
    </w:p>
    <w:p w:rsidR="00AB528A" w:rsidRPr="00E037EA" w:rsidRDefault="00AB528A" w:rsidP="0079316A">
      <w:pPr>
        <w:pStyle w:val="1"/>
      </w:pPr>
      <w:r w:rsidRPr="00E037EA">
        <w:fldChar w:fldCharType="begin"/>
      </w:r>
      <w:r w:rsidRPr="00E037EA">
        <w:instrText xml:space="preserve"> =1\*Roman </w:instrText>
      </w:r>
      <w:r w:rsidRPr="00E037EA">
        <w:fldChar w:fldCharType="separate"/>
      </w:r>
      <w:r w:rsidRPr="00E037EA">
        <w:rPr>
          <w:noProof/>
        </w:rPr>
        <w:t>I</w:t>
      </w:r>
      <w:r w:rsidRPr="00E037EA">
        <w:fldChar w:fldCharType="end"/>
      </w:r>
      <w:r w:rsidRPr="00E037EA">
        <w:t>. INTRODUCTION</w:t>
      </w:r>
    </w:p>
    <w:p w:rsidR="00AB528A" w:rsidRPr="00E037EA" w:rsidRDefault="00AB528A" w:rsidP="00AB528A">
      <w:pPr>
        <w:ind w:firstLine="567"/>
        <w:contextualSpacing/>
        <w:jc w:val="both"/>
        <w:rPr>
          <w:sz w:val="20"/>
          <w:szCs w:val="24"/>
        </w:rPr>
      </w:pPr>
      <w:r w:rsidRPr="00E037EA">
        <w:rPr>
          <w:sz w:val="20"/>
          <w:szCs w:val="24"/>
        </w:rPr>
        <w:t xml:space="preserve">In recent years, attention to electrodeless sources of plasma greatly increased because of high efficiency of gas ionization. One of the most perspective facilities of such type is a helicon plasma source. Helicon discharge </w:t>
      </w:r>
      <w:proofErr w:type="gramStart"/>
      <w:r w:rsidRPr="00E037EA">
        <w:rPr>
          <w:sz w:val="20"/>
          <w:szCs w:val="24"/>
        </w:rPr>
        <w:t>has been shown</w:t>
      </w:r>
      <w:proofErr w:type="gramEnd"/>
      <w:r w:rsidRPr="00E037EA">
        <w:rPr>
          <w:sz w:val="20"/>
          <w:szCs w:val="24"/>
        </w:rPr>
        <w:t xml:space="preserve"> to produce high-density steady-state plasma (</w:t>
      </w:r>
      <w:r w:rsidRPr="00E037EA">
        <w:rPr>
          <w:i/>
          <w:sz w:val="20"/>
          <w:szCs w:val="24"/>
        </w:rPr>
        <w:t xml:space="preserve">n </w:t>
      </w:r>
      <w:r w:rsidRPr="00E037EA">
        <w:rPr>
          <w:sz w:val="20"/>
          <w:szCs w:val="24"/>
        </w:rPr>
        <w:t>≥ 10</w:t>
      </w:r>
      <w:r w:rsidRPr="00E037EA">
        <w:rPr>
          <w:sz w:val="20"/>
          <w:szCs w:val="24"/>
          <w:vertAlign w:val="superscript"/>
        </w:rPr>
        <w:t>12</w:t>
      </w:r>
      <w:r w:rsidRPr="00E037EA">
        <w:rPr>
          <w:sz w:val="20"/>
          <w:szCs w:val="24"/>
        </w:rPr>
        <w:t xml:space="preserve"> cm</w:t>
      </w:r>
      <w:r w:rsidRPr="00E037EA">
        <w:rPr>
          <w:sz w:val="20"/>
          <w:szCs w:val="24"/>
          <w:vertAlign w:val="superscript"/>
        </w:rPr>
        <w:t>-3</w:t>
      </w:r>
      <w:r w:rsidRPr="00E037EA">
        <w:rPr>
          <w:sz w:val="20"/>
          <w:szCs w:val="24"/>
        </w:rPr>
        <w:t xml:space="preserve">) with </w:t>
      </w:r>
      <w:r w:rsidR="00F340F4">
        <w:rPr>
          <w:sz w:val="20"/>
          <w:szCs w:val="24"/>
        </w:rPr>
        <w:t>relatively low RF power (1-</w:t>
      </w:r>
      <w:r w:rsidRPr="00E037EA">
        <w:rPr>
          <w:sz w:val="20"/>
          <w:szCs w:val="24"/>
        </w:rPr>
        <w:t>2 kW). In this way, helicon plasma source is most appropriate to simulate fusion reaction conditions and investigate plasma-material interaction (PMI).</w:t>
      </w:r>
    </w:p>
    <w:p w:rsidR="00AB528A" w:rsidRPr="00E037EA" w:rsidRDefault="00AB528A" w:rsidP="00AB528A">
      <w:pPr>
        <w:ind w:firstLine="567"/>
        <w:contextualSpacing/>
        <w:jc w:val="both"/>
        <w:rPr>
          <w:sz w:val="20"/>
          <w:szCs w:val="24"/>
        </w:rPr>
      </w:pPr>
      <w:r w:rsidRPr="00E037EA">
        <w:rPr>
          <w:sz w:val="20"/>
          <w:szCs w:val="24"/>
        </w:rPr>
        <w:t>Helicons are right-hand polarized electromagnetic waves that propagate in magnetized plasma. An electrodeless discharge can be divided by the RF power intensity: capacitive discharge (E-mode), inductive discharge (H-mode) and helicon discharge (W-mode) [1]. A list of features of the W-mode includes a more efficient RF energy absorption and a high plasma density as compared with the H-mode. Today, a reason of very high ionization efficiency is not fully understood, but many theoretical works suggest Landau dumping as main mechanism of energy absorption.</w:t>
      </w:r>
    </w:p>
    <w:p w:rsidR="00AB528A" w:rsidRPr="00E037EA" w:rsidRDefault="00AB528A" w:rsidP="00AB528A">
      <w:pPr>
        <w:ind w:firstLine="567"/>
        <w:contextualSpacing/>
        <w:jc w:val="both"/>
        <w:rPr>
          <w:sz w:val="20"/>
          <w:szCs w:val="24"/>
        </w:rPr>
      </w:pPr>
      <w:r w:rsidRPr="00E037EA">
        <w:rPr>
          <w:sz w:val="20"/>
          <w:szCs w:val="24"/>
        </w:rPr>
        <w:t>In this paper geometry and value of magnetic field are investigated to significantly transform temperature and plasma density profiles, magnetic field configurations are simulated and analyzed.</w:t>
      </w:r>
    </w:p>
    <w:p w:rsidR="00AB528A" w:rsidRPr="00E037EA" w:rsidRDefault="00AB528A" w:rsidP="0079316A">
      <w:pPr>
        <w:pStyle w:val="1"/>
      </w:pPr>
      <w:r w:rsidRPr="00E037EA">
        <w:fldChar w:fldCharType="begin"/>
      </w:r>
      <w:r w:rsidRPr="00E037EA">
        <w:instrText xml:space="preserve"> =3\*Roman </w:instrText>
      </w:r>
      <w:r w:rsidRPr="00E037EA">
        <w:fldChar w:fldCharType="separate"/>
      </w:r>
      <w:r w:rsidRPr="00E037EA">
        <w:rPr>
          <w:noProof/>
        </w:rPr>
        <w:t>II</w:t>
      </w:r>
      <w:r w:rsidRPr="00E037EA">
        <w:fldChar w:fldCharType="end"/>
      </w:r>
      <w:r w:rsidRPr="00E037EA">
        <w:t>. EXPERIMENTAL SETUP</w:t>
      </w:r>
    </w:p>
    <w:p w:rsidR="00A045CB" w:rsidRDefault="00AB528A" w:rsidP="00FA4B07">
      <w:pPr>
        <w:spacing w:after="240"/>
        <w:ind w:firstLine="567"/>
        <w:contextualSpacing/>
        <w:jc w:val="both"/>
        <w:rPr>
          <w:sz w:val="20"/>
          <w:szCs w:val="24"/>
        </w:rPr>
      </w:pPr>
      <w:r w:rsidRPr="00E037EA">
        <w:rPr>
          <w:sz w:val="20"/>
          <w:szCs w:val="24"/>
        </w:rPr>
        <w:t xml:space="preserve">Helicon plasma source is shown schematically in Fig. 1a. It represents a quartz tube of 400 mm length surrounded by RF antenna and external coper magnetic coils. </w:t>
      </w:r>
      <w:proofErr w:type="gramStart"/>
      <w:r w:rsidRPr="00E037EA">
        <w:rPr>
          <w:sz w:val="20"/>
          <w:szCs w:val="24"/>
        </w:rPr>
        <w:t>The hydrogen plasma is generated in the helicon discharge at the frequency of 13.56 MHz by RF coupling</w:t>
      </w:r>
      <w:r w:rsidR="00C73998">
        <w:rPr>
          <w:sz w:val="20"/>
          <w:szCs w:val="24"/>
        </w:rPr>
        <w:t xml:space="preserve"> of the Nagoya Type III antenna</w:t>
      </w:r>
      <w:r w:rsidRPr="00E037EA">
        <w:rPr>
          <w:sz w:val="20"/>
          <w:szCs w:val="24"/>
        </w:rPr>
        <w:t xml:space="preserve"> (Fig 1b)</w:t>
      </w:r>
      <w:proofErr w:type="gramEnd"/>
      <w:r w:rsidRPr="00E037EA">
        <w:rPr>
          <w:sz w:val="20"/>
          <w:szCs w:val="24"/>
        </w:rPr>
        <w:t>.</w:t>
      </w:r>
    </w:p>
    <w:p w:rsidR="0025698F" w:rsidRDefault="00A045CB" w:rsidP="0025698F">
      <w:pPr>
        <w:ind w:firstLine="567"/>
        <w:contextualSpacing/>
        <w:jc w:val="both"/>
        <w:rPr>
          <w:sz w:val="20"/>
          <w:vertAlign w:val="superscript"/>
        </w:rPr>
      </w:pPr>
      <w:proofErr w:type="gramStart"/>
      <w:r w:rsidRPr="00E037EA">
        <w:rPr>
          <w:sz w:val="20"/>
          <w:szCs w:val="24"/>
        </w:rPr>
        <w:lastRenderedPageBreak/>
        <w:t>RF power to the antenna is supplied by COMDELL CB5000 generator up to 5 kW</w:t>
      </w:r>
      <w:proofErr w:type="gramEnd"/>
      <w:r w:rsidRPr="00E037EA">
        <w:rPr>
          <w:sz w:val="20"/>
          <w:szCs w:val="24"/>
        </w:rPr>
        <w:t>.</w:t>
      </w:r>
      <w:r>
        <w:rPr>
          <w:sz w:val="20"/>
          <w:szCs w:val="24"/>
        </w:rPr>
        <w:t xml:space="preserve"> </w:t>
      </w:r>
      <w:r w:rsidRPr="00E27B65">
        <w:rPr>
          <w:sz w:val="20"/>
        </w:rPr>
        <w:t>The external magnetic field is supplied by one mirror</w:t>
      </w:r>
      <w:r>
        <w:rPr>
          <w:sz w:val="20"/>
        </w:rPr>
        <w:t xml:space="preserve"> coil with (inner diameter 184</w:t>
      </w:r>
      <w:r w:rsidRPr="00E27B65">
        <w:rPr>
          <w:sz w:val="20"/>
        </w:rPr>
        <w:t xml:space="preserve"> mm, cross section 75</w:t>
      </w:r>
      <w:r>
        <w:rPr>
          <w:sz w:val="20"/>
        </w:rPr>
        <w:t xml:space="preserve"> </w:t>
      </w:r>
      <w:r w:rsidRPr="00E27B65">
        <w:rPr>
          <w:sz w:val="20"/>
        </w:rPr>
        <w:t>mm</w:t>
      </w:r>
      <w:r>
        <w:rPr>
          <w:sz w:val="20"/>
        </w:rPr>
        <w:t xml:space="preserve"> </w:t>
      </w:r>
      <w:r w:rsidRPr="00E27B65">
        <w:rPr>
          <w:sz w:val="20"/>
        </w:rPr>
        <w:t>×</w:t>
      </w:r>
      <w:r>
        <w:rPr>
          <w:sz w:val="20"/>
        </w:rPr>
        <w:t xml:space="preserve"> </w:t>
      </w:r>
      <w:r w:rsidRPr="00E27B65">
        <w:rPr>
          <w:sz w:val="20"/>
        </w:rPr>
        <w:t xml:space="preserve">142 mm, 976 turns) and </w:t>
      </w:r>
      <w:r>
        <w:rPr>
          <w:sz w:val="20"/>
        </w:rPr>
        <w:t>four coils (inner diameter 184</w:t>
      </w:r>
      <w:r w:rsidRPr="00E27B65">
        <w:rPr>
          <w:sz w:val="20"/>
        </w:rPr>
        <w:t xml:space="preserve"> mm, cross section 75</w:t>
      </w:r>
      <w:r>
        <w:rPr>
          <w:sz w:val="20"/>
        </w:rPr>
        <w:t xml:space="preserve"> </w:t>
      </w:r>
      <w:r w:rsidRPr="00E27B65">
        <w:rPr>
          <w:sz w:val="20"/>
        </w:rPr>
        <w:t>mm</w:t>
      </w:r>
      <w:r>
        <w:rPr>
          <w:sz w:val="20"/>
        </w:rPr>
        <w:t xml:space="preserve"> </w:t>
      </w:r>
      <w:r w:rsidRPr="00E27B65">
        <w:rPr>
          <w:sz w:val="20"/>
        </w:rPr>
        <w:t>×</w:t>
      </w:r>
      <w:r>
        <w:rPr>
          <w:sz w:val="20"/>
        </w:rPr>
        <w:t xml:space="preserve"> </w:t>
      </w:r>
      <w:r w:rsidRPr="00E27B65">
        <w:rPr>
          <w:sz w:val="20"/>
        </w:rPr>
        <w:t>82 mm, 495 turns).</w:t>
      </w:r>
      <w:r w:rsidRPr="00A045CB">
        <w:rPr>
          <w:sz w:val="20"/>
        </w:rPr>
        <w:t xml:space="preserve"> </w:t>
      </w:r>
      <w:r w:rsidRPr="00E27B65">
        <w:rPr>
          <w:sz w:val="20"/>
        </w:rPr>
        <w:t xml:space="preserve">Plasma from the helicon source spreads out along the magnetic force lines; three limiters </w:t>
      </w:r>
      <w:proofErr w:type="gramStart"/>
      <w:r w:rsidRPr="00E27B65">
        <w:rPr>
          <w:sz w:val="20"/>
        </w:rPr>
        <w:t xml:space="preserve">are </w:t>
      </w:r>
      <w:r>
        <w:rPr>
          <w:sz w:val="20"/>
        </w:rPr>
        <w:t>installed</w:t>
      </w:r>
      <w:proofErr w:type="gramEnd"/>
      <w:r>
        <w:rPr>
          <w:sz w:val="20"/>
        </w:rPr>
        <w:t xml:space="preserve"> to avoid strong plasma</w:t>
      </w:r>
      <w:r w:rsidRPr="00E27B65">
        <w:rPr>
          <w:sz w:val="20"/>
        </w:rPr>
        <w:t xml:space="preserve"> </w:t>
      </w:r>
      <w:r>
        <w:rPr>
          <w:sz w:val="20"/>
        </w:rPr>
        <w:t>interaction with</w:t>
      </w:r>
      <w:r w:rsidRPr="00E27B65">
        <w:rPr>
          <w:sz w:val="20"/>
        </w:rPr>
        <w:t xml:space="preserve"> the quartz tube. The vacuum system consists of backing and </w:t>
      </w:r>
      <w:proofErr w:type="spellStart"/>
      <w:r w:rsidRPr="00E27B65">
        <w:rPr>
          <w:sz w:val="20"/>
        </w:rPr>
        <w:t>turbomolecular</w:t>
      </w:r>
      <w:proofErr w:type="spellEnd"/>
      <w:r w:rsidRPr="00E27B65">
        <w:rPr>
          <w:sz w:val="20"/>
        </w:rPr>
        <w:t xml:space="preserve"> pumps.</w:t>
      </w:r>
      <w:r w:rsidR="0025698F" w:rsidRPr="0025698F">
        <w:rPr>
          <w:sz w:val="20"/>
        </w:rPr>
        <w:t xml:space="preserve"> </w:t>
      </w:r>
      <w:r w:rsidR="0025698F" w:rsidRPr="00E27B65">
        <w:rPr>
          <w:sz w:val="20"/>
        </w:rPr>
        <w:t xml:space="preserve">The </w:t>
      </w:r>
      <w:r w:rsidR="0025698F">
        <w:rPr>
          <w:sz w:val="20"/>
        </w:rPr>
        <w:t xml:space="preserve">base </w:t>
      </w:r>
      <w:r w:rsidR="0025698F" w:rsidRPr="00E27B65">
        <w:rPr>
          <w:sz w:val="20"/>
        </w:rPr>
        <w:t xml:space="preserve">pressure inside the </w:t>
      </w:r>
      <w:r w:rsidR="0025698F">
        <w:rPr>
          <w:sz w:val="20"/>
        </w:rPr>
        <w:t>tube</w:t>
      </w:r>
      <w:r w:rsidR="0025698F" w:rsidRPr="00E27B65">
        <w:rPr>
          <w:sz w:val="20"/>
        </w:rPr>
        <w:t xml:space="preserve"> </w:t>
      </w:r>
      <w:r w:rsidR="0025698F">
        <w:rPr>
          <w:sz w:val="20"/>
        </w:rPr>
        <w:t xml:space="preserve">is of the order of </w:t>
      </w:r>
      <w:r w:rsidR="0025698F" w:rsidRPr="00E27B65">
        <w:rPr>
          <w:sz w:val="20"/>
        </w:rPr>
        <w:t>10</w:t>
      </w:r>
      <w:r w:rsidR="0025698F" w:rsidRPr="00E27B65">
        <w:rPr>
          <w:sz w:val="20"/>
          <w:vertAlign w:val="superscript"/>
        </w:rPr>
        <w:t>-7</w:t>
      </w:r>
      <w:r w:rsidR="0025698F" w:rsidRPr="00E27B65">
        <w:rPr>
          <w:sz w:val="20"/>
        </w:rPr>
        <w:t xml:space="preserve"> </w:t>
      </w:r>
      <w:proofErr w:type="spellStart"/>
      <w:r w:rsidR="0025698F" w:rsidRPr="00E27B65">
        <w:rPr>
          <w:sz w:val="20"/>
        </w:rPr>
        <w:t>Torr</w:t>
      </w:r>
      <w:proofErr w:type="spellEnd"/>
      <w:r w:rsidR="0025698F" w:rsidRPr="00E27B65">
        <w:rPr>
          <w:sz w:val="20"/>
        </w:rPr>
        <w:t xml:space="preserve">. A movable triple Langmuir probe </w:t>
      </w:r>
      <w:proofErr w:type="gramStart"/>
      <w:r w:rsidR="0025698F" w:rsidRPr="00E27B65">
        <w:rPr>
          <w:sz w:val="20"/>
        </w:rPr>
        <w:t>was used</w:t>
      </w:r>
      <w:proofErr w:type="gramEnd"/>
      <w:r w:rsidR="0025698F" w:rsidRPr="00E27B65">
        <w:rPr>
          <w:sz w:val="20"/>
        </w:rPr>
        <w:t xml:space="preserve"> for measuring radial profiles of the electron temperature and plasma density at the end of plasma discharge camera.</w:t>
      </w:r>
      <w:r w:rsidR="0025698F" w:rsidRPr="00E27B65">
        <w:rPr>
          <w:sz w:val="20"/>
          <w:vertAlign w:val="superscript"/>
        </w:rPr>
        <w:t xml:space="preserve"> </w:t>
      </w:r>
    </w:p>
    <w:p w:rsidR="00103ECC" w:rsidRDefault="00103ECC" w:rsidP="0025698F">
      <w:pPr>
        <w:ind w:firstLine="567"/>
        <w:contextualSpacing/>
        <w:jc w:val="both"/>
        <w:rPr>
          <w:sz w:val="20"/>
          <w:vertAlign w:val="superscript"/>
        </w:rPr>
      </w:pPr>
    </w:p>
    <w:tbl>
      <w:tblPr>
        <w:tblStyle w:val="a8"/>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7"/>
        <w:gridCol w:w="2463"/>
      </w:tblGrid>
      <w:tr w:rsidR="00A045CB" w:rsidTr="00C56356">
        <w:tc>
          <w:tcPr>
            <w:tcW w:w="6917" w:type="dxa"/>
          </w:tcPr>
          <w:p w:rsidR="00405526" w:rsidRDefault="00103ECC" w:rsidP="00405526">
            <w:pPr>
              <w:contextualSpacing/>
              <w:jc w:val="center"/>
              <w:rPr>
                <w:sz w:val="20"/>
                <w:szCs w:val="24"/>
              </w:rPr>
            </w:pPr>
            <w:r w:rsidRPr="00096A78">
              <w:rPr>
                <w:noProof/>
                <w:lang w:val="ru-RU" w:eastAsia="ru-RU"/>
              </w:rPr>
              <w:drawing>
                <wp:inline distT="0" distB="0" distL="0" distR="0">
                  <wp:extent cx="1912403" cy="3877481"/>
                  <wp:effectExtent l="7938" t="0" r="0" b="953"/>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0"/>
                          <pic:cNvPicPr>
                            <a:picLocks noChangeAspect="1" noChangeArrowheads="1"/>
                          </pic:cNvPicPr>
                        </pic:nvPicPr>
                        <pic:blipFill>
                          <a:blip r:embed="rId6" cstate="print">
                            <a:extLst>
                              <a:ext uri="{28A0092B-C50C-407E-A947-70E740481C1C}">
                                <a14:useLocalDpi xmlns:a14="http://schemas.microsoft.com/office/drawing/2010/main" val="0"/>
                              </a:ext>
                            </a:extLst>
                          </a:blip>
                          <a:srcRect l="17413"/>
                          <a:stretch>
                            <a:fillRect/>
                          </a:stretch>
                        </pic:blipFill>
                        <pic:spPr bwMode="auto">
                          <a:xfrm rot="-5400000">
                            <a:off x="0" y="0"/>
                            <a:ext cx="1944469" cy="3942496"/>
                          </a:xfrm>
                          <a:prstGeom prst="rect">
                            <a:avLst/>
                          </a:prstGeom>
                          <a:noFill/>
                          <a:ln>
                            <a:noFill/>
                          </a:ln>
                        </pic:spPr>
                      </pic:pic>
                    </a:graphicData>
                  </a:graphic>
                </wp:inline>
              </w:drawing>
            </w:r>
          </w:p>
        </w:tc>
        <w:tc>
          <w:tcPr>
            <w:tcW w:w="2463" w:type="dxa"/>
          </w:tcPr>
          <w:p w:rsidR="00D208E1" w:rsidRDefault="00D208E1" w:rsidP="00405526">
            <w:pPr>
              <w:contextualSpacing/>
              <w:jc w:val="center"/>
              <w:rPr>
                <w:sz w:val="20"/>
                <w:szCs w:val="24"/>
              </w:rPr>
            </w:pPr>
          </w:p>
          <w:p w:rsidR="00D208E1" w:rsidRDefault="00D208E1" w:rsidP="00405526">
            <w:pPr>
              <w:contextualSpacing/>
              <w:jc w:val="center"/>
              <w:rPr>
                <w:sz w:val="20"/>
                <w:szCs w:val="24"/>
              </w:rPr>
            </w:pPr>
          </w:p>
          <w:p w:rsidR="00A045CB" w:rsidRDefault="00A045CB" w:rsidP="00405526">
            <w:pPr>
              <w:contextualSpacing/>
              <w:jc w:val="center"/>
              <w:rPr>
                <w:sz w:val="20"/>
                <w:szCs w:val="24"/>
              </w:rPr>
            </w:pPr>
          </w:p>
          <w:p w:rsidR="00405526" w:rsidRDefault="00405526" w:rsidP="00405526">
            <w:pPr>
              <w:ind w:left="-16" w:firstLine="16"/>
              <w:contextualSpacing/>
              <w:jc w:val="center"/>
              <w:rPr>
                <w:sz w:val="20"/>
                <w:szCs w:val="24"/>
              </w:rPr>
            </w:pPr>
            <w:r>
              <w:rPr>
                <w:b/>
                <w:noProof/>
                <w:sz w:val="28"/>
                <w:szCs w:val="28"/>
                <w:lang w:val="ru-RU" w:eastAsia="ru-RU"/>
              </w:rPr>
              <w:drawing>
                <wp:inline distT="0" distB="0" distL="0" distR="0" wp14:anchorId="51A18415" wp14:editId="3C54F711">
                  <wp:extent cx="1387530" cy="940279"/>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4162" b="15475"/>
                          <a:stretch/>
                        </pic:blipFill>
                        <pic:spPr bwMode="auto">
                          <a:xfrm>
                            <a:off x="0" y="0"/>
                            <a:ext cx="1420510" cy="96262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05526" w:rsidRPr="00405526" w:rsidRDefault="00405526" w:rsidP="00405526">
      <w:pPr>
        <w:tabs>
          <w:tab w:val="left" w:pos="4536"/>
        </w:tabs>
        <w:ind w:left="720" w:right="-497"/>
        <w:rPr>
          <w:sz w:val="18"/>
          <w:szCs w:val="28"/>
        </w:rPr>
      </w:pPr>
      <w:r>
        <w:rPr>
          <w:sz w:val="18"/>
          <w:szCs w:val="28"/>
        </w:rPr>
        <w:t xml:space="preserve">                                    </w:t>
      </w:r>
      <w:r w:rsidR="0025698F">
        <w:rPr>
          <w:sz w:val="18"/>
          <w:szCs w:val="28"/>
        </w:rPr>
        <w:t xml:space="preserve">         </w:t>
      </w:r>
      <w:r>
        <w:rPr>
          <w:sz w:val="18"/>
          <w:szCs w:val="28"/>
        </w:rPr>
        <w:t xml:space="preserve">  a)</w:t>
      </w:r>
      <w:r w:rsidRPr="00405526">
        <w:rPr>
          <w:sz w:val="18"/>
          <w:szCs w:val="28"/>
        </w:rPr>
        <w:t xml:space="preserve">                                                                                                                   </w:t>
      </w:r>
      <w:proofErr w:type="gramStart"/>
      <w:r w:rsidRPr="00405526">
        <w:rPr>
          <w:sz w:val="18"/>
          <w:szCs w:val="28"/>
        </w:rPr>
        <w:t>b</w:t>
      </w:r>
      <w:proofErr w:type="gramEnd"/>
      <w:r w:rsidRPr="00405526">
        <w:rPr>
          <w:sz w:val="18"/>
          <w:szCs w:val="28"/>
        </w:rPr>
        <w:t>)</w:t>
      </w:r>
    </w:p>
    <w:p w:rsidR="00AB528A" w:rsidRDefault="0079316A" w:rsidP="00391C68">
      <w:pPr>
        <w:contextualSpacing/>
        <w:jc w:val="center"/>
        <w:rPr>
          <w:i/>
          <w:sz w:val="18"/>
          <w:szCs w:val="18"/>
        </w:rPr>
      </w:pPr>
      <w:r w:rsidRPr="0079316A">
        <w:rPr>
          <w:b/>
          <w:caps/>
          <w:sz w:val="18"/>
          <w:szCs w:val="18"/>
        </w:rPr>
        <w:t>Figure 1.</w:t>
      </w:r>
      <w:r w:rsidRPr="002B6015">
        <w:rPr>
          <w:sz w:val="18"/>
          <w:szCs w:val="18"/>
        </w:rPr>
        <w:t xml:space="preserve"> </w:t>
      </w:r>
      <w:r w:rsidR="00AB528A" w:rsidRPr="002B6015">
        <w:rPr>
          <w:sz w:val="18"/>
          <w:szCs w:val="18"/>
        </w:rPr>
        <w:t xml:space="preserve">a) Scheme of the helicon plasma source: </w:t>
      </w:r>
      <w:proofErr w:type="gramStart"/>
      <w:r w:rsidR="00AB528A" w:rsidRPr="002B6015">
        <w:rPr>
          <w:sz w:val="18"/>
          <w:szCs w:val="18"/>
        </w:rPr>
        <w:t>1</w:t>
      </w:r>
      <w:proofErr w:type="gramEnd"/>
      <w:r w:rsidR="00AB528A" w:rsidRPr="002B6015">
        <w:rPr>
          <w:sz w:val="18"/>
          <w:szCs w:val="18"/>
        </w:rPr>
        <w:t xml:space="preserve"> </w:t>
      </w:r>
      <w:r w:rsidR="00636EA9">
        <w:rPr>
          <w:sz w:val="18"/>
          <w:szCs w:val="18"/>
        </w:rPr>
        <w:t xml:space="preserve">– </w:t>
      </w:r>
      <w:r w:rsidR="00AB528A" w:rsidRPr="002B6015">
        <w:rPr>
          <w:sz w:val="18"/>
          <w:szCs w:val="18"/>
        </w:rPr>
        <w:t xml:space="preserve">expansion </w:t>
      </w:r>
      <w:r w:rsidR="00636EA9">
        <w:rPr>
          <w:sz w:val="18"/>
          <w:szCs w:val="18"/>
        </w:rPr>
        <w:t>chamber</w:t>
      </w:r>
      <w:r w:rsidR="00AB528A" w:rsidRPr="002B6015">
        <w:rPr>
          <w:sz w:val="18"/>
          <w:szCs w:val="18"/>
        </w:rPr>
        <w:t>; 2</w:t>
      </w:r>
      <w:r w:rsidR="00636EA9">
        <w:rPr>
          <w:sz w:val="18"/>
          <w:szCs w:val="18"/>
        </w:rPr>
        <w:t xml:space="preserve">, 5 – </w:t>
      </w:r>
      <w:r w:rsidR="00636EA9" w:rsidRPr="002B6015">
        <w:rPr>
          <w:sz w:val="18"/>
          <w:szCs w:val="18"/>
        </w:rPr>
        <w:t>limiters</w:t>
      </w:r>
      <w:r w:rsidR="00636EA9">
        <w:rPr>
          <w:sz w:val="18"/>
          <w:szCs w:val="18"/>
        </w:rPr>
        <w:t>,</w:t>
      </w:r>
      <w:r w:rsidR="00636EA9" w:rsidRPr="002B6015">
        <w:rPr>
          <w:sz w:val="18"/>
          <w:szCs w:val="18"/>
        </w:rPr>
        <w:t xml:space="preserve"> </w:t>
      </w:r>
      <w:r w:rsidR="002B6015" w:rsidRPr="002B6015">
        <w:rPr>
          <w:sz w:val="18"/>
          <w:szCs w:val="18"/>
        </w:rPr>
        <w:t>3</w:t>
      </w:r>
      <w:r w:rsidR="00AB528A" w:rsidRPr="002B6015">
        <w:rPr>
          <w:sz w:val="18"/>
          <w:szCs w:val="18"/>
        </w:rPr>
        <w:t xml:space="preserve"> </w:t>
      </w:r>
      <w:r w:rsidR="00636EA9">
        <w:rPr>
          <w:sz w:val="18"/>
          <w:szCs w:val="18"/>
        </w:rPr>
        <w:t xml:space="preserve">– </w:t>
      </w:r>
      <w:r w:rsidR="00636EA9" w:rsidRPr="002B6015">
        <w:rPr>
          <w:sz w:val="18"/>
          <w:szCs w:val="18"/>
        </w:rPr>
        <w:t>RF antenna</w:t>
      </w:r>
      <w:r w:rsidR="00AB528A" w:rsidRPr="002B6015">
        <w:rPr>
          <w:sz w:val="18"/>
          <w:szCs w:val="18"/>
        </w:rPr>
        <w:t>;</w:t>
      </w:r>
      <w:r w:rsidR="002B6015" w:rsidRPr="002B6015">
        <w:rPr>
          <w:sz w:val="18"/>
          <w:szCs w:val="18"/>
        </w:rPr>
        <w:t xml:space="preserve"> 4</w:t>
      </w:r>
      <w:r w:rsidR="00AB528A" w:rsidRPr="002B6015">
        <w:rPr>
          <w:sz w:val="18"/>
          <w:szCs w:val="18"/>
        </w:rPr>
        <w:t xml:space="preserve"> – quartz tube;</w:t>
      </w:r>
      <w:r w:rsidR="00DE5333">
        <w:rPr>
          <w:sz w:val="18"/>
          <w:szCs w:val="18"/>
        </w:rPr>
        <w:t xml:space="preserve">    </w:t>
      </w:r>
      <w:r w:rsidR="00AB528A" w:rsidRPr="002B6015">
        <w:rPr>
          <w:sz w:val="18"/>
          <w:szCs w:val="18"/>
        </w:rPr>
        <w:t xml:space="preserve"> 5, </w:t>
      </w:r>
      <w:r w:rsidR="002B6015" w:rsidRPr="002B6015">
        <w:rPr>
          <w:sz w:val="18"/>
          <w:szCs w:val="18"/>
        </w:rPr>
        <w:t xml:space="preserve">6 – </w:t>
      </w:r>
      <w:r w:rsidR="00636EA9">
        <w:rPr>
          <w:sz w:val="18"/>
          <w:szCs w:val="18"/>
        </w:rPr>
        <w:t>diagnostic chamber</w:t>
      </w:r>
      <w:r w:rsidR="002B6015" w:rsidRPr="002B6015">
        <w:rPr>
          <w:sz w:val="18"/>
          <w:szCs w:val="18"/>
        </w:rPr>
        <w:t xml:space="preserve">; 7 </w:t>
      </w:r>
      <w:r w:rsidR="00636EA9">
        <w:rPr>
          <w:sz w:val="18"/>
          <w:szCs w:val="18"/>
        </w:rPr>
        <w:t xml:space="preserve">– </w:t>
      </w:r>
      <w:r w:rsidR="00636EA9" w:rsidRPr="002B6015">
        <w:rPr>
          <w:sz w:val="18"/>
          <w:szCs w:val="18"/>
        </w:rPr>
        <w:t>gas inlet</w:t>
      </w:r>
      <w:r w:rsidR="00636EA9">
        <w:rPr>
          <w:sz w:val="18"/>
          <w:szCs w:val="18"/>
        </w:rPr>
        <w:t>;</w:t>
      </w:r>
      <w:r w:rsidR="00636EA9" w:rsidRPr="002B6015">
        <w:rPr>
          <w:sz w:val="18"/>
          <w:szCs w:val="18"/>
        </w:rPr>
        <w:t xml:space="preserve"> </w:t>
      </w:r>
      <w:r w:rsidR="002B6015" w:rsidRPr="002B6015">
        <w:rPr>
          <w:sz w:val="18"/>
          <w:szCs w:val="18"/>
        </w:rPr>
        <w:t xml:space="preserve">8 </w:t>
      </w:r>
      <w:r w:rsidR="00636EA9" w:rsidRPr="002B6015">
        <w:rPr>
          <w:sz w:val="18"/>
          <w:szCs w:val="18"/>
        </w:rPr>
        <w:t>– mirror coil</w:t>
      </w:r>
      <w:r w:rsidR="002B6015" w:rsidRPr="002B6015">
        <w:rPr>
          <w:sz w:val="18"/>
          <w:szCs w:val="18"/>
        </w:rPr>
        <w:t>; 9</w:t>
      </w:r>
      <w:r w:rsidR="00AB528A" w:rsidRPr="002B6015">
        <w:rPr>
          <w:sz w:val="18"/>
          <w:szCs w:val="18"/>
        </w:rPr>
        <w:t xml:space="preserve"> – </w:t>
      </w:r>
      <w:r w:rsidR="00636EA9" w:rsidRPr="002B6015">
        <w:rPr>
          <w:sz w:val="18"/>
          <w:szCs w:val="18"/>
        </w:rPr>
        <w:t>magnetic coils</w:t>
      </w:r>
      <w:r w:rsidR="00AB528A" w:rsidRPr="002B6015">
        <w:rPr>
          <w:sz w:val="18"/>
          <w:szCs w:val="18"/>
        </w:rPr>
        <w:t>; 1</w:t>
      </w:r>
      <w:r w:rsidR="002B6015" w:rsidRPr="002B6015">
        <w:rPr>
          <w:sz w:val="18"/>
          <w:szCs w:val="18"/>
        </w:rPr>
        <w:t>0</w:t>
      </w:r>
      <w:r w:rsidR="00AB528A" w:rsidRPr="002B6015">
        <w:rPr>
          <w:sz w:val="18"/>
          <w:szCs w:val="18"/>
        </w:rPr>
        <w:t xml:space="preserve"> – </w:t>
      </w:r>
      <w:r w:rsidR="00636EA9">
        <w:rPr>
          <w:sz w:val="18"/>
          <w:szCs w:val="18"/>
        </w:rPr>
        <w:t>window</w:t>
      </w:r>
      <w:r w:rsidR="00AB528A" w:rsidRPr="002B6015">
        <w:rPr>
          <w:sz w:val="18"/>
          <w:szCs w:val="18"/>
        </w:rPr>
        <w:t>. b) RF antenna Nagoya Type III (copper tube Ø6×1 mm, inductance – 0.3 µH, diameter – 110 mm, length – 160 mm).</w:t>
      </w:r>
    </w:p>
    <w:p w:rsidR="00AB528A" w:rsidRPr="00E037EA" w:rsidRDefault="00AB528A" w:rsidP="00E27B65">
      <w:pPr>
        <w:pStyle w:val="1"/>
      </w:pPr>
      <w:r w:rsidRPr="00E037EA">
        <w:fldChar w:fldCharType="begin"/>
      </w:r>
      <w:r w:rsidRPr="00E037EA">
        <w:instrText xml:space="preserve"> =3\*Roman </w:instrText>
      </w:r>
      <w:r w:rsidRPr="00E037EA">
        <w:fldChar w:fldCharType="separate"/>
      </w:r>
      <w:r w:rsidRPr="00E037EA">
        <w:rPr>
          <w:noProof/>
        </w:rPr>
        <w:t>III</w:t>
      </w:r>
      <w:r w:rsidRPr="00E037EA">
        <w:fldChar w:fldCharType="end"/>
      </w:r>
      <w:r w:rsidRPr="00E037EA">
        <w:t>. EXPERIMENTAL RESULTS AND DISCUSSION</w:t>
      </w:r>
    </w:p>
    <w:p w:rsidR="00AB528A" w:rsidRPr="00E037EA" w:rsidRDefault="00AB528A" w:rsidP="00FD4B95">
      <w:pPr>
        <w:spacing w:after="120"/>
        <w:ind w:firstLine="567"/>
        <w:jc w:val="both"/>
        <w:rPr>
          <w:sz w:val="20"/>
        </w:rPr>
      </w:pPr>
      <w:r w:rsidRPr="00E037EA">
        <w:rPr>
          <w:sz w:val="20"/>
        </w:rPr>
        <w:t>The principal aim of the experiment was to investigate the effect of the magnetic field profile on the plasma characteristics. For these purposes, different magnetic profiles were used (Fig. 2) and the radial profiles of the plasma density and electron tem</w:t>
      </w:r>
      <w:r w:rsidR="00887077">
        <w:rPr>
          <w:sz w:val="20"/>
        </w:rPr>
        <w:t xml:space="preserve">perature </w:t>
      </w:r>
      <w:proofErr w:type="gramStart"/>
      <w:r w:rsidR="00887077">
        <w:rPr>
          <w:sz w:val="20"/>
        </w:rPr>
        <w:t>were measured</w:t>
      </w:r>
      <w:proofErr w:type="gramEnd"/>
      <w:r w:rsidR="00887077">
        <w:rPr>
          <w:sz w:val="20"/>
        </w:rPr>
        <w:t>.</w:t>
      </w:r>
      <w:r w:rsidRPr="00E037EA">
        <w:rPr>
          <w:sz w:val="20"/>
        </w:rPr>
        <w:t xml:space="preserve"> </w:t>
      </w:r>
    </w:p>
    <w:p w:rsidR="00592B12" w:rsidRDefault="00592B12" w:rsidP="00C02A3A">
      <w:pPr>
        <w:tabs>
          <w:tab w:val="left" w:pos="0"/>
        </w:tabs>
        <w:spacing w:after="120"/>
        <w:jc w:val="both"/>
        <w:rPr>
          <w:sz w:val="20"/>
        </w:rPr>
      </w:pPr>
      <w:r>
        <w:rPr>
          <w:noProof/>
          <w:szCs w:val="24"/>
          <w:lang w:val="ru-RU" w:eastAsia="ru-RU"/>
        </w:rPr>
        <w:drawing>
          <wp:inline distT="0" distB="0" distL="0" distR="0" wp14:anchorId="36ABCF69" wp14:editId="7840B3A0">
            <wp:extent cx="2899507" cy="1142747"/>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4554" cy="1160501"/>
                    </a:xfrm>
                    <a:prstGeom prst="rect">
                      <a:avLst/>
                    </a:prstGeom>
                    <a:noFill/>
                    <a:ln>
                      <a:noFill/>
                    </a:ln>
                  </pic:spPr>
                </pic:pic>
              </a:graphicData>
            </a:graphic>
          </wp:inline>
        </w:drawing>
      </w:r>
      <w:r w:rsidR="00C02A3A">
        <w:rPr>
          <w:sz w:val="20"/>
        </w:rPr>
        <w:t xml:space="preserve">  </w:t>
      </w:r>
      <w:r>
        <w:rPr>
          <w:noProof/>
          <w:szCs w:val="24"/>
          <w:lang w:val="ru-RU" w:eastAsia="ru-RU"/>
        </w:rPr>
        <w:drawing>
          <wp:inline distT="0" distB="0" distL="0" distR="0" wp14:anchorId="65380213" wp14:editId="30B483F8">
            <wp:extent cx="2910102" cy="1147646"/>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7388" cy="1174181"/>
                    </a:xfrm>
                    <a:prstGeom prst="rect">
                      <a:avLst/>
                    </a:prstGeom>
                    <a:noFill/>
                    <a:ln>
                      <a:noFill/>
                    </a:ln>
                  </pic:spPr>
                </pic:pic>
              </a:graphicData>
            </a:graphic>
          </wp:inline>
        </w:drawing>
      </w:r>
    </w:p>
    <w:p w:rsidR="00C02A3A" w:rsidRDefault="00C02A3A" w:rsidP="00C02A3A">
      <w:pPr>
        <w:tabs>
          <w:tab w:val="left" w:pos="0"/>
        </w:tabs>
        <w:spacing w:after="120"/>
        <w:jc w:val="both"/>
        <w:rPr>
          <w:sz w:val="20"/>
        </w:rPr>
      </w:pPr>
      <w:bookmarkStart w:id="0" w:name="_GoBack"/>
      <w:bookmarkEnd w:id="0"/>
    </w:p>
    <w:p w:rsidR="00592B12" w:rsidRDefault="00592B12" w:rsidP="006C3E52">
      <w:pPr>
        <w:spacing w:after="120"/>
        <w:jc w:val="center"/>
        <w:rPr>
          <w:sz w:val="20"/>
        </w:rPr>
      </w:pPr>
      <w:r>
        <w:rPr>
          <w:noProof/>
          <w:szCs w:val="24"/>
          <w:lang w:val="ru-RU" w:eastAsia="ru-RU"/>
        </w:rPr>
        <w:drawing>
          <wp:inline distT="0" distB="0" distL="0" distR="0" wp14:anchorId="18379E9B" wp14:editId="28CC6E29">
            <wp:extent cx="3033227" cy="1199909"/>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6010" cy="1216834"/>
                    </a:xfrm>
                    <a:prstGeom prst="rect">
                      <a:avLst/>
                    </a:prstGeom>
                    <a:noFill/>
                    <a:ln>
                      <a:noFill/>
                    </a:ln>
                  </pic:spPr>
                </pic:pic>
              </a:graphicData>
            </a:graphic>
          </wp:inline>
        </w:drawing>
      </w:r>
    </w:p>
    <w:p w:rsidR="00592B12" w:rsidRDefault="00592B12" w:rsidP="00592B12">
      <w:pPr>
        <w:spacing w:before="240"/>
        <w:ind w:right="144"/>
        <w:jc w:val="center"/>
        <w:rPr>
          <w:sz w:val="18"/>
          <w:szCs w:val="18"/>
        </w:rPr>
      </w:pPr>
      <w:r w:rsidRPr="00E27B65">
        <w:rPr>
          <w:b/>
          <w:caps/>
          <w:sz w:val="18"/>
          <w:szCs w:val="18"/>
        </w:rPr>
        <w:t>Figure 2.</w:t>
      </w:r>
      <w:r w:rsidRPr="00E27B65">
        <w:rPr>
          <w:sz w:val="18"/>
          <w:szCs w:val="18"/>
        </w:rPr>
        <w:t xml:space="preserve"> Intensity and force lines of m</w:t>
      </w:r>
      <w:r>
        <w:rPr>
          <w:sz w:val="18"/>
          <w:szCs w:val="18"/>
        </w:rPr>
        <w:t>agnetic field:</w:t>
      </w:r>
    </w:p>
    <w:p w:rsidR="00592B12" w:rsidRDefault="00592B12" w:rsidP="00592B12">
      <w:pPr>
        <w:tabs>
          <w:tab w:val="left" w:pos="5133"/>
        </w:tabs>
        <w:ind w:right="34"/>
        <w:jc w:val="center"/>
        <w:rPr>
          <w:sz w:val="18"/>
          <w:szCs w:val="18"/>
        </w:rPr>
      </w:pPr>
      <w:r>
        <w:rPr>
          <w:sz w:val="18"/>
          <w:szCs w:val="18"/>
        </w:rPr>
        <w:t>а) low-diverging</w:t>
      </w:r>
      <w:r w:rsidRPr="00E27B65">
        <w:rPr>
          <w:sz w:val="18"/>
          <w:szCs w:val="18"/>
        </w:rPr>
        <w:t xml:space="preserve"> field: </w:t>
      </w:r>
      <w:proofErr w:type="spellStart"/>
      <w:proofErr w:type="gramStart"/>
      <w:r w:rsidRPr="00E27B65">
        <w:rPr>
          <w:sz w:val="18"/>
          <w:szCs w:val="18"/>
        </w:rPr>
        <w:t>I</w:t>
      </w:r>
      <w:r w:rsidRPr="00E27B65">
        <w:rPr>
          <w:sz w:val="18"/>
          <w:szCs w:val="18"/>
          <w:vertAlign w:val="subscript"/>
        </w:rPr>
        <w:t>cc</w:t>
      </w:r>
      <w:proofErr w:type="spellEnd"/>
      <w:r w:rsidRPr="00E27B65">
        <w:rPr>
          <w:sz w:val="18"/>
          <w:szCs w:val="18"/>
        </w:rPr>
        <w:t>=</w:t>
      </w:r>
      <w:proofErr w:type="gramEnd"/>
      <w:r w:rsidRPr="00E27B65">
        <w:rPr>
          <w:sz w:val="18"/>
          <w:szCs w:val="18"/>
        </w:rPr>
        <w:t>4.6</w:t>
      </w:r>
      <w:r>
        <w:rPr>
          <w:sz w:val="18"/>
          <w:szCs w:val="18"/>
        </w:rPr>
        <w:t xml:space="preserve"> </w:t>
      </w:r>
      <w:r w:rsidRPr="00E27B65">
        <w:rPr>
          <w:sz w:val="18"/>
          <w:szCs w:val="18"/>
        </w:rPr>
        <w:t xml:space="preserve">А, </w:t>
      </w:r>
      <w:proofErr w:type="spellStart"/>
      <w:r w:rsidRPr="00E27B65">
        <w:rPr>
          <w:sz w:val="18"/>
          <w:szCs w:val="18"/>
        </w:rPr>
        <w:t>I</w:t>
      </w:r>
      <w:r w:rsidRPr="00E27B65">
        <w:rPr>
          <w:sz w:val="18"/>
          <w:szCs w:val="18"/>
          <w:vertAlign w:val="subscript"/>
        </w:rPr>
        <w:t>mcc</w:t>
      </w:r>
      <w:proofErr w:type="spellEnd"/>
      <w:r w:rsidRPr="00E27B65">
        <w:rPr>
          <w:sz w:val="18"/>
          <w:szCs w:val="18"/>
        </w:rPr>
        <w:t>=4.6</w:t>
      </w:r>
      <w:r>
        <w:rPr>
          <w:sz w:val="18"/>
          <w:szCs w:val="18"/>
        </w:rPr>
        <w:t xml:space="preserve"> </w:t>
      </w:r>
      <w:r w:rsidRPr="00E27B65">
        <w:rPr>
          <w:sz w:val="18"/>
          <w:szCs w:val="18"/>
        </w:rPr>
        <w:t xml:space="preserve">А, </w:t>
      </w:r>
      <w:proofErr w:type="spellStart"/>
      <w:r w:rsidRPr="00E27B65">
        <w:rPr>
          <w:sz w:val="18"/>
          <w:szCs w:val="18"/>
        </w:rPr>
        <w:t>B</w:t>
      </w:r>
      <w:r w:rsidRPr="00E27B65">
        <w:rPr>
          <w:sz w:val="18"/>
          <w:szCs w:val="18"/>
          <w:vertAlign w:val="subscript"/>
        </w:rPr>
        <w:t>min</w:t>
      </w:r>
      <w:proofErr w:type="spellEnd"/>
      <w:r w:rsidRPr="00E27B65">
        <w:rPr>
          <w:sz w:val="18"/>
          <w:szCs w:val="18"/>
        </w:rPr>
        <w:t>=30</w:t>
      </w:r>
      <w:r>
        <w:rPr>
          <w:sz w:val="18"/>
          <w:szCs w:val="18"/>
        </w:rPr>
        <w:t xml:space="preserve"> </w:t>
      </w:r>
      <w:r w:rsidRPr="00E27B65">
        <w:rPr>
          <w:sz w:val="18"/>
          <w:szCs w:val="18"/>
        </w:rPr>
        <w:t xml:space="preserve">G, </w:t>
      </w:r>
      <w:proofErr w:type="spellStart"/>
      <w:r w:rsidRPr="00E27B65">
        <w:rPr>
          <w:sz w:val="18"/>
          <w:szCs w:val="18"/>
        </w:rPr>
        <w:t>B</w:t>
      </w:r>
      <w:r w:rsidRPr="00E27B65">
        <w:rPr>
          <w:sz w:val="18"/>
          <w:szCs w:val="18"/>
          <w:vertAlign w:val="subscript"/>
        </w:rPr>
        <w:t>max</w:t>
      </w:r>
      <w:proofErr w:type="spellEnd"/>
      <w:r w:rsidRPr="00E27B65">
        <w:rPr>
          <w:sz w:val="18"/>
          <w:szCs w:val="18"/>
        </w:rPr>
        <w:t>=300</w:t>
      </w:r>
      <w:r>
        <w:rPr>
          <w:sz w:val="18"/>
          <w:szCs w:val="18"/>
        </w:rPr>
        <w:t xml:space="preserve"> </w:t>
      </w:r>
      <w:r w:rsidRPr="00E27B65">
        <w:rPr>
          <w:sz w:val="18"/>
          <w:szCs w:val="18"/>
        </w:rPr>
        <w:t>G;</w:t>
      </w:r>
    </w:p>
    <w:p w:rsidR="00592B12" w:rsidRDefault="00592B12" w:rsidP="00592B12">
      <w:pPr>
        <w:tabs>
          <w:tab w:val="left" w:pos="5133"/>
        </w:tabs>
        <w:ind w:right="34"/>
        <w:jc w:val="center"/>
        <w:rPr>
          <w:sz w:val="18"/>
          <w:szCs w:val="18"/>
        </w:rPr>
      </w:pPr>
      <w:r w:rsidRPr="00E27B65">
        <w:rPr>
          <w:sz w:val="18"/>
          <w:szCs w:val="18"/>
        </w:rPr>
        <w:t xml:space="preserve">b) </w:t>
      </w:r>
      <w:proofErr w:type="gramStart"/>
      <w:r w:rsidRPr="00E27B65">
        <w:rPr>
          <w:sz w:val="18"/>
          <w:szCs w:val="18"/>
        </w:rPr>
        <w:t>inhomogeneous</w:t>
      </w:r>
      <w:proofErr w:type="gramEnd"/>
      <w:r w:rsidRPr="00E27B65">
        <w:rPr>
          <w:sz w:val="18"/>
          <w:szCs w:val="18"/>
        </w:rPr>
        <w:t xml:space="preserve"> field: </w:t>
      </w:r>
      <w:proofErr w:type="spellStart"/>
      <w:r w:rsidRPr="00E27B65">
        <w:rPr>
          <w:sz w:val="18"/>
          <w:szCs w:val="18"/>
        </w:rPr>
        <w:t>I</w:t>
      </w:r>
      <w:r w:rsidRPr="00E27B65">
        <w:rPr>
          <w:sz w:val="18"/>
          <w:szCs w:val="18"/>
          <w:vertAlign w:val="subscript"/>
        </w:rPr>
        <w:t>mcc</w:t>
      </w:r>
      <w:proofErr w:type="spellEnd"/>
      <w:r w:rsidRPr="00E27B65">
        <w:rPr>
          <w:sz w:val="18"/>
          <w:szCs w:val="18"/>
        </w:rPr>
        <w:t>=-8.4</w:t>
      </w:r>
      <w:r>
        <w:rPr>
          <w:sz w:val="18"/>
          <w:szCs w:val="18"/>
        </w:rPr>
        <w:t xml:space="preserve"> </w:t>
      </w:r>
      <w:r w:rsidRPr="00E27B65">
        <w:rPr>
          <w:sz w:val="18"/>
          <w:szCs w:val="18"/>
        </w:rPr>
        <w:t xml:space="preserve">А, </w:t>
      </w:r>
      <w:proofErr w:type="spellStart"/>
      <w:r w:rsidRPr="00E27B65">
        <w:rPr>
          <w:sz w:val="18"/>
          <w:szCs w:val="18"/>
        </w:rPr>
        <w:t>I</w:t>
      </w:r>
      <w:r w:rsidRPr="00E27B65">
        <w:rPr>
          <w:sz w:val="18"/>
          <w:szCs w:val="18"/>
          <w:vertAlign w:val="subscript"/>
        </w:rPr>
        <w:t>cc</w:t>
      </w:r>
      <w:proofErr w:type="spellEnd"/>
      <w:r w:rsidRPr="00E27B65">
        <w:rPr>
          <w:sz w:val="18"/>
          <w:szCs w:val="18"/>
        </w:rPr>
        <w:t>=7.2</w:t>
      </w:r>
      <w:r>
        <w:rPr>
          <w:sz w:val="18"/>
          <w:szCs w:val="18"/>
        </w:rPr>
        <w:t xml:space="preserve"> </w:t>
      </w:r>
      <w:r w:rsidRPr="00E27B65">
        <w:rPr>
          <w:sz w:val="18"/>
          <w:szCs w:val="18"/>
        </w:rPr>
        <w:t xml:space="preserve">А, </w:t>
      </w:r>
      <w:proofErr w:type="spellStart"/>
      <w:r w:rsidRPr="00E27B65">
        <w:rPr>
          <w:sz w:val="18"/>
          <w:szCs w:val="18"/>
        </w:rPr>
        <w:t>B</w:t>
      </w:r>
      <w:r w:rsidRPr="00E27B65">
        <w:rPr>
          <w:sz w:val="18"/>
          <w:szCs w:val="18"/>
          <w:vertAlign w:val="subscript"/>
        </w:rPr>
        <w:t>min</w:t>
      </w:r>
      <w:proofErr w:type="spellEnd"/>
      <w:r w:rsidRPr="00E27B65">
        <w:rPr>
          <w:sz w:val="18"/>
          <w:szCs w:val="18"/>
        </w:rPr>
        <w:t>=-240</w:t>
      </w:r>
      <w:r>
        <w:rPr>
          <w:sz w:val="18"/>
          <w:szCs w:val="18"/>
        </w:rPr>
        <w:t xml:space="preserve"> </w:t>
      </w:r>
      <w:r w:rsidRPr="00E27B65">
        <w:rPr>
          <w:sz w:val="18"/>
          <w:szCs w:val="18"/>
        </w:rPr>
        <w:t xml:space="preserve">G, </w:t>
      </w:r>
      <w:proofErr w:type="spellStart"/>
      <w:r w:rsidRPr="00E27B65">
        <w:rPr>
          <w:sz w:val="18"/>
          <w:szCs w:val="18"/>
        </w:rPr>
        <w:t>B</w:t>
      </w:r>
      <w:r w:rsidRPr="00E27B65">
        <w:rPr>
          <w:sz w:val="18"/>
          <w:szCs w:val="18"/>
          <w:vertAlign w:val="subscript"/>
        </w:rPr>
        <w:t>max</w:t>
      </w:r>
      <w:proofErr w:type="spellEnd"/>
      <w:r w:rsidRPr="00E27B65">
        <w:rPr>
          <w:sz w:val="18"/>
          <w:szCs w:val="18"/>
        </w:rPr>
        <w:t>=300</w:t>
      </w:r>
      <w:r>
        <w:rPr>
          <w:sz w:val="18"/>
          <w:szCs w:val="18"/>
        </w:rPr>
        <w:t xml:space="preserve"> </w:t>
      </w:r>
      <w:r w:rsidRPr="00E27B65">
        <w:rPr>
          <w:sz w:val="18"/>
          <w:szCs w:val="18"/>
        </w:rPr>
        <w:t>G;</w:t>
      </w:r>
    </w:p>
    <w:p w:rsidR="00592B12" w:rsidRDefault="00592B12" w:rsidP="0052577F">
      <w:pPr>
        <w:spacing w:after="240"/>
        <w:jc w:val="center"/>
        <w:rPr>
          <w:sz w:val="18"/>
          <w:szCs w:val="18"/>
        </w:rPr>
      </w:pPr>
      <w:r w:rsidRPr="00E27B65">
        <w:rPr>
          <w:sz w:val="18"/>
          <w:szCs w:val="18"/>
        </w:rPr>
        <w:t xml:space="preserve">c) </w:t>
      </w:r>
      <w:proofErr w:type="gramStart"/>
      <w:r w:rsidRPr="00E27B65">
        <w:rPr>
          <w:sz w:val="18"/>
          <w:szCs w:val="18"/>
        </w:rPr>
        <w:t>inhomogeneous</w:t>
      </w:r>
      <w:proofErr w:type="gramEnd"/>
      <w:r w:rsidRPr="00E27B65">
        <w:rPr>
          <w:sz w:val="18"/>
          <w:szCs w:val="18"/>
        </w:rPr>
        <w:t xml:space="preserve"> field: </w:t>
      </w:r>
      <w:proofErr w:type="spellStart"/>
      <w:r w:rsidRPr="00E27B65">
        <w:rPr>
          <w:sz w:val="18"/>
          <w:szCs w:val="18"/>
        </w:rPr>
        <w:t>I</w:t>
      </w:r>
      <w:r w:rsidRPr="00E27B65">
        <w:rPr>
          <w:sz w:val="18"/>
          <w:szCs w:val="18"/>
          <w:vertAlign w:val="subscript"/>
        </w:rPr>
        <w:t>mcc</w:t>
      </w:r>
      <w:proofErr w:type="spellEnd"/>
      <w:r w:rsidRPr="00E27B65">
        <w:rPr>
          <w:sz w:val="18"/>
          <w:szCs w:val="18"/>
        </w:rPr>
        <w:t>=-16.2</w:t>
      </w:r>
      <w:r>
        <w:rPr>
          <w:sz w:val="18"/>
          <w:szCs w:val="18"/>
        </w:rPr>
        <w:t xml:space="preserve"> </w:t>
      </w:r>
      <w:r w:rsidRPr="00E27B65">
        <w:rPr>
          <w:sz w:val="18"/>
          <w:szCs w:val="18"/>
        </w:rPr>
        <w:t xml:space="preserve">А, </w:t>
      </w:r>
      <w:proofErr w:type="spellStart"/>
      <w:r w:rsidRPr="00E27B65">
        <w:rPr>
          <w:sz w:val="18"/>
          <w:szCs w:val="18"/>
        </w:rPr>
        <w:t>I</w:t>
      </w:r>
      <w:r w:rsidRPr="00E27B65">
        <w:rPr>
          <w:sz w:val="18"/>
          <w:szCs w:val="18"/>
          <w:vertAlign w:val="subscript"/>
        </w:rPr>
        <w:t>cc</w:t>
      </w:r>
      <w:proofErr w:type="spellEnd"/>
      <w:r w:rsidRPr="00E27B65">
        <w:rPr>
          <w:sz w:val="18"/>
          <w:szCs w:val="18"/>
        </w:rPr>
        <w:t>=7.9</w:t>
      </w:r>
      <w:r>
        <w:rPr>
          <w:sz w:val="18"/>
          <w:szCs w:val="18"/>
        </w:rPr>
        <w:t xml:space="preserve"> </w:t>
      </w:r>
      <w:r w:rsidRPr="00E27B65">
        <w:rPr>
          <w:sz w:val="18"/>
          <w:szCs w:val="18"/>
        </w:rPr>
        <w:t xml:space="preserve">А, </w:t>
      </w:r>
      <w:proofErr w:type="spellStart"/>
      <w:r w:rsidRPr="00E27B65">
        <w:rPr>
          <w:sz w:val="18"/>
          <w:szCs w:val="18"/>
        </w:rPr>
        <w:t>B</w:t>
      </w:r>
      <w:r w:rsidRPr="00E27B65">
        <w:rPr>
          <w:sz w:val="18"/>
          <w:szCs w:val="18"/>
          <w:vertAlign w:val="subscript"/>
        </w:rPr>
        <w:t>min</w:t>
      </w:r>
      <w:proofErr w:type="spellEnd"/>
      <w:r w:rsidRPr="00E27B65">
        <w:rPr>
          <w:sz w:val="18"/>
          <w:szCs w:val="18"/>
        </w:rPr>
        <w:t>=-540</w:t>
      </w:r>
      <w:r>
        <w:rPr>
          <w:sz w:val="18"/>
          <w:szCs w:val="18"/>
        </w:rPr>
        <w:t xml:space="preserve"> </w:t>
      </w:r>
      <w:r w:rsidRPr="00E27B65">
        <w:rPr>
          <w:sz w:val="18"/>
          <w:szCs w:val="18"/>
        </w:rPr>
        <w:t xml:space="preserve">G, </w:t>
      </w:r>
      <w:proofErr w:type="spellStart"/>
      <w:r w:rsidRPr="00E27B65">
        <w:rPr>
          <w:sz w:val="18"/>
          <w:szCs w:val="18"/>
        </w:rPr>
        <w:t>B</w:t>
      </w:r>
      <w:r w:rsidRPr="00E27B65">
        <w:rPr>
          <w:sz w:val="18"/>
          <w:szCs w:val="18"/>
          <w:vertAlign w:val="subscript"/>
        </w:rPr>
        <w:t>max</w:t>
      </w:r>
      <w:proofErr w:type="spellEnd"/>
      <w:r w:rsidRPr="00E27B65">
        <w:rPr>
          <w:sz w:val="18"/>
          <w:szCs w:val="18"/>
        </w:rPr>
        <w:t>=310</w:t>
      </w:r>
      <w:r>
        <w:rPr>
          <w:sz w:val="18"/>
          <w:szCs w:val="18"/>
        </w:rPr>
        <w:t xml:space="preserve"> </w:t>
      </w:r>
      <w:r w:rsidRPr="00E27B65">
        <w:rPr>
          <w:sz w:val="18"/>
          <w:szCs w:val="18"/>
        </w:rPr>
        <w:t>G.</w:t>
      </w:r>
    </w:p>
    <w:p w:rsidR="00592B12" w:rsidRDefault="00592B12" w:rsidP="00592B12">
      <w:pPr>
        <w:ind w:left="52" w:hanging="52"/>
        <w:jc w:val="center"/>
        <w:rPr>
          <w:sz w:val="20"/>
        </w:rPr>
      </w:pPr>
      <w:r w:rsidRPr="00000CCE">
        <w:rPr>
          <w:noProof/>
          <w:lang w:val="ru-RU" w:eastAsia="ru-RU"/>
        </w:rPr>
        <w:lastRenderedPageBreak/>
        <w:drawing>
          <wp:inline distT="0" distB="0" distL="0" distR="0" wp14:anchorId="23E977C2" wp14:editId="4EA421EC">
            <wp:extent cx="2303145" cy="2286000"/>
            <wp:effectExtent l="0" t="0" r="190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2B12" w:rsidRDefault="00592B12" w:rsidP="0052577F">
      <w:pPr>
        <w:spacing w:after="240"/>
        <w:jc w:val="center"/>
        <w:rPr>
          <w:sz w:val="20"/>
        </w:rPr>
      </w:pPr>
      <w:r w:rsidRPr="00D86AFD">
        <w:rPr>
          <w:b/>
          <w:caps/>
          <w:sz w:val="18"/>
          <w:szCs w:val="18"/>
        </w:rPr>
        <w:t>Figure 3.</w:t>
      </w:r>
      <w:r>
        <w:rPr>
          <w:b/>
          <w:caps/>
          <w:sz w:val="18"/>
          <w:szCs w:val="18"/>
        </w:rPr>
        <w:t xml:space="preserve"> </w:t>
      </w:r>
      <w:r>
        <w:rPr>
          <w:sz w:val="18"/>
          <w:szCs w:val="18"/>
        </w:rPr>
        <w:t>The measured p</w:t>
      </w:r>
      <w:r w:rsidRPr="00E27B65">
        <w:rPr>
          <w:sz w:val="18"/>
          <w:szCs w:val="18"/>
        </w:rPr>
        <w:t xml:space="preserve">lasma density </w:t>
      </w:r>
      <w:r>
        <w:rPr>
          <w:sz w:val="18"/>
          <w:szCs w:val="18"/>
        </w:rPr>
        <w:t>vs mirror c</w:t>
      </w:r>
      <w:r w:rsidRPr="00E27B65">
        <w:rPr>
          <w:sz w:val="18"/>
          <w:szCs w:val="18"/>
        </w:rPr>
        <w:t>oil current</w:t>
      </w:r>
      <w:r>
        <w:rPr>
          <w:sz w:val="18"/>
          <w:szCs w:val="18"/>
        </w:rPr>
        <w:t>.</w:t>
      </w:r>
    </w:p>
    <w:p w:rsidR="009F0434" w:rsidRDefault="00AB528A" w:rsidP="00D733A6">
      <w:pPr>
        <w:spacing w:after="240"/>
        <w:ind w:firstLine="567"/>
        <w:jc w:val="both"/>
        <w:rPr>
          <w:sz w:val="20"/>
        </w:rPr>
      </w:pPr>
      <w:r w:rsidRPr="00E037EA">
        <w:rPr>
          <w:sz w:val="20"/>
        </w:rPr>
        <w:t xml:space="preserve">Ref. </w:t>
      </w:r>
      <w:r w:rsidR="00A700D2">
        <w:rPr>
          <w:sz w:val="20"/>
        </w:rPr>
        <w:t>[</w:t>
      </w:r>
      <w:r w:rsidRPr="00E037EA">
        <w:rPr>
          <w:sz w:val="20"/>
        </w:rPr>
        <w:t>9</w:t>
      </w:r>
      <w:r w:rsidR="00A700D2">
        <w:rPr>
          <w:sz w:val="20"/>
        </w:rPr>
        <w:t>]</w:t>
      </w:r>
      <w:r w:rsidRPr="00E037EA">
        <w:rPr>
          <w:sz w:val="20"/>
        </w:rPr>
        <w:t xml:space="preserve"> describes the phenomenon of a density peak at low magnetic field, which we also observed.  In the current experiment, a density maximum (</w:t>
      </w:r>
      <w:r w:rsidRPr="00E037EA">
        <w:rPr>
          <w:i/>
          <w:sz w:val="20"/>
        </w:rPr>
        <w:t>n</w:t>
      </w:r>
      <w:r w:rsidRPr="00E037EA">
        <w:rPr>
          <w:sz w:val="20"/>
        </w:rPr>
        <w:t>=0.4×10</w:t>
      </w:r>
      <w:r w:rsidRPr="00E037EA">
        <w:rPr>
          <w:sz w:val="20"/>
          <w:vertAlign w:val="superscript"/>
        </w:rPr>
        <w:t>12</w:t>
      </w:r>
      <w:r w:rsidRPr="00E037EA">
        <w:rPr>
          <w:sz w:val="20"/>
        </w:rPr>
        <w:t xml:space="preserve"> cm</w:t>
      </w:r>
      <w:r w:rsidRPr="00E037EA">
        <w:rPr>
          <w:sz w:val="20"/>
          <w:vertAlign w:val="superscript"/>
        </w:rPr>
        <w:t>-3</w:t>
      </w:r>
      <w:r w:rsidRPr="00E037EA">
        <w:rPr>
          <w:sz w:val="20"/>
        </w:rPr>
        <w:t>) in the low-diverging magnetic field was found at 120</w:t>
      </w:r>
      <w:r w:rsidR="00F340F4">
        <w:rPr>
          <w:sz w:val="20"/>
        </w:rPr>
        <w:t xml:space="preserve"> </w:t>
      </w:r>
      <w:r w:rsidRPr="00E037EA">
        <w:rPr>
          <w:sz w:val="20"/>
        </w:rPr>
        <w:t xml:space="preserve">G nearby RF antenna in agreement with the theory of Ref. [2]. Optimal plasma characteristics were found when the </w:t>
      </w:r>
      <w:r w:rsidRPr="00D86AFD">
        <w:rPr>
          <w:sz w:val="20"/>
        </w:rPr>
        <w:t>magnetic field of the mirror coil</w:t>
      </w:r>
      <w:r w:rsidRPr="00E037EA">
        <w:rPr>
          <w:sz w:val="20"/>
        </w:rPr>
        <w:t xml:space="preserve"> was in opposite direction regarding the other coils (Figs. 2b, 2c).  Fig. 3 describes a dependence of the plasma density on the mirror coil current </w:t>
      </w:r>
      <w:proofErr w:type="spellStart"/>
      <w:r w:rsidRPr="00E037EA">
        <w:rPr>
          <w:i/>
          <w:sz w:val="20"/>
        </w:rPr>
        <w:t>I</w:t>
      </w:r>
      <w:r w:rsidRPr="00E037EA">
        <w:rPr>
          <w:i/>
          <w:sz w:val="20"/>
          <w:vertAlign w:val="subscript"/>
        </w:rPr>
        <w:t>mcc</w:t>
      </w:r>
      <w:proofErr w:type="spellEnd"/>
      <w:r w:rsidRPr="00E037EA">
        <w:rPr>
          <w:sz w:val="20"/>
        </w:rPr>
        <w:t xml:space="preserve"> and other coils current</w:t>
      </w:r>
      <w:r w:rsidRPr="00E037EA">
        <w:rPr>
          <w:i/>
          <w:sz w:val="20"/>
        </w:rPr>
        <w:t xml:space="preserve"> </w:t>
      </w:r>
      <w:proofErr w:type="spellStart"/>
      <w:proofErr w:type="gramStart"/>
      <w:r w:rsidRPr="00E037EA">
        <w:rPr>
          <w:i/>
          <w:sz w:val="20"/>
        </w:rPr>
        <w:t>I</w:t>
      </w:r>
      <w:r w:rsidRPr="00E037EA">
        <w:rPr>
          <w:i/>
          <w:sz w:val="20"/>
          <w:vertAlign w:val="subscript"/>
        </w:rPr>
        <w:t>cc</w:t>
      </w:r>
      <w:proofErr w:type="spellEnd"/>
      <w:proofErr w:type="gramEnd"/>
      <w:r w:rsidRPr="00E037EA">
        <w:rPr>
          <w:sz w:val="20"/>
        </w:rPr>
        <w:t xml:space="preserve">. We noted that greater coil current yields greater plasma density.     </w:t>
      </w:r>
    </w:p>
    <w:p w:rsidR="00336721" w:rsidRDefault="00336721" w:rsidP="0052577F">
      <w:pPr>
        <w:jc w:val="center"/>
        <w:rPr>
          <w:sz w:val="20"/>
        </w:rPr>
      </w:pPr>
      <w:r w:rsidRPr="00B01DF2">
        <w:rPr>
          <w:noProof/>
          <w:lang w:val="ru-RU" w:eastAsia="ru-RU"/>
        </w:rPr>
        <w:drawing>
          <wp:inline distT="0" distB="0" distL="0" distR="0" wp14:anchorId="04232A06" wp14:editId="540FDF2D">
            <wp:extent cx="2611755" cy="25146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6721" w:rsidRDefault="00336721" w:rsidP="00336721">
      <w:pPr>
        <w:ind w:right="-72"/>
        <w:jc w:val="center"/>
        <w:rPr>
          <w:sz w:val="18"/>
          <w:szCs w:val="24"/>
        </w:rPr>
      </w:pPr>
      <w:r w:rsidRPr="00E27B65">
        <w:rPr>
          <w:b/>
          <w:caps/>
          <w:sz w:val="18"/>
          <w:szCs w:val="18"/>
        </w:rPr>
        <w:t>Figure 4.</w:t>
      </w:r>
      <w:r w:rsidRPr="00E27B65">
        <w:rPr>
          <w:sz w:val="18"/>
          <w:szCs w:val="18"/>
        </w:rPr>
        <w:t xml:space="preserve"> </w:t>
      </w:r>
      <w:r w:rsidRPr="00E27B65">
        <w:rPr>
          <w:sz w:val="18"/>
          <w:szCs w:val="24"/>
        </w:rPr>
        <w:t xml:space="preserve"> Radial plasma density profiles </w:t>
      </w:r>
      <w:r>
        <w:rPr>
          <w:sz w:val="18"/>
          <w:szCs w:val="24"/>
        </w:rPr>
        <w:t>for</w:t>
      </w:r>
      <w:r w:rsidRPr="00E27B65">
        <w:rPr>
          <w:sz w:val="18"/>
          <w:szCs w:val="24"/>
        </w:rPr>
        <w:t xml:space="preserve"> different magnetic configurations.</w:t>
      </w:r>
    </w:p>
    <w:p w:rsidR="0052577F" w:rsidRDefault="0052577F" w:rsidP="00336721">
      <w:pPr>
        <w:ind w:right="-72"/>
        <w:jc w:val="center"/>
        <w:rPr>
          <w:sz w:val="18"/>
          <w:szCs w:val="24"/>
        </w:rPr>
      </w:pPr>
    </w:p>
    <w:p w:rsidR="0052577F" w:rsidRDefault="0052577F" w:rsidP="0052577F">
      <w:pPr>
        <w:ind w:firstLine="567"/>
        <w:jc w:val="both"/>
        <w:rPr>
          <w:sz w:val="20"/>
        </w:rPr>
      </w:pPr>
      <w:r w:rsidRPr="00E037EA">
        <w:rPr>
          <w:sz w:val="20"/>
        </w:rPr>
        <w:t xml:space="preserve">The profile of the magnetic field at the maximal plasma density </w:t>
      </w:r>
      <w:proofErr w:type="gramStart"/>
      <w:r w:rsidRPr="00E037EA">
        <w:rPr>
          <w:sz w:val="20"/>
        </w:rPr>
        <w:t>is characterized</w:t>
      </w:r>
      <w:proofErr w:type="gramEnd"/>
      <w:r w:rsidRPr="00E037EA">
        <w:rPr>
          <w:sz w:val="20"/>
        </w:rPr>
        <w:t xml:space="preserve"> by the mirror ratio of 1.75. Configuration in Fig. 2c is not steady-state because force lines cross plasma quartz camera. We hope to find profiles that don’t cross plasma camera in the future</w:t>
      </w:r>
      <w:r w:rsidRPr="00E037EA">
        <w:rPr>
          <w:b/>
          <w:sz w:val="20"/>
        </w:rPr>
        <w:t xml:space="preserve"> </w:t>
      </w:r>
      <w:r w:rsidRPr="00E037EA">
        <w:rPr>
          <w:sz w:val="20"/>
        </w:rPr>
        <w:t xml:space="preserve">experiments. Plasma density profile is </w:t>
      </w:r>
      <w:proofErr w:type="gramStart"/>
      <w:r w:rsidRPr="00E037EA">
        <w:rPr>
          <w:sz w:val="20"/>
        </w:rPr>
        <w:t>more narrow</w:t>
      </w:r>
      <w:proofErr w:type="gramEnd"/>
      <w:r w:rsidRPr="00E037EA">
        <w:rPr>
          <w:sz w:val="20"/>
        </w:rPr>
        <w:t xml:space="preserve"> and the density peak is higher in case of strong mirror current as compared with low-diverging field (Fig.4).</w:t>
      </w:r>
    </w:p>
    <w:p w:rsidR="0052577F" w:rsidRDefault="0052577F" w:rsidP="0052577F">
      <w:pPr>
        <w:ind w:firstLine="567"/>
        <w:jc w:val="both"/>
        <w:rPr>
          <w:sz w:val="20"/>
        </w:rPr>
      </w:pPr>
      <w:r w:rsidRPr="00E037EA">
        <w:rPr>
          <w:sz w:val="20"/>
        </w:rPr>
        <w:t>In the experiment, various gas pressure were tested. Corresponding radial profiles of the plasma density and electron temperature are shown in Figs. 6 and 7. We noted that plasma characteristics are more sensitive to the gas pressure change in case of inhomogeneous configuration (Figs. 2b, 2c) than for a low diverging field (Fig. 2a) and plasma density increase from 2×10</w:t>
      </w:r>
      <w:r w:rsidRPr="00E037EA">
        <w:rPr>
          <w:sz w:val="20"/>
          <w:vertAlign w:val="superscript"/>
        </w:rPr>
        <w:t>12</w:t>
      </w:r>
      <w:r w:rsidRPr="00E037EA">
        <w:rPr>
          <w:sz w:val="20"/>
        </w:rPr>
        <w:t xml:space="preserve"> cm</w:t>
      </w:r>
      <w:r w:rsidRPr="00E037EA">
        <w:rPr>
          <w:sz w:val="20"/>
          <w:vertAlign w:val="superscript"/>
        </w:rPr>
        <w:t>-3</w:t>
      </w:r>
      <w:r w:rsidRPr="00E037EA">
        <w:rPr>
          <w:sz w:val="20"/>
        </w:rPr>
        <w:t xml:space="preserve"> up to 4.5×10</w:t>
      </w:r>
      <w:r w:rsidRPr="00E037EA">
        <w:rPr>
          <w:sz w:val="20"/>
          <w:vertAlign w:val="superscript"/>
        </w:rPr>
        <w:t>12</w:t>
      </w:r>
      <w:r w:rsidRPr="00E037EA">
        <w:rPr>
          <w:sz w:val="20"/>
        </w:rPr>
        <w:t xml:space="preserve"> cm</w:t>
      </w:r>
      <w:r w:rsidRPr="00E037EA">
        <w:rPr>
          <w:sz w:val="20"/>
          <w:vertAlign w:val="superscript"/>
        </w:rPr>
        <w:t>-3</w:t>
      </w:r>
      <w:r w:rsidRPr="00E037EA">
        <w:rPr>
          <w:sz w:val="20"/>
        </w:rPr>
        <w:t xml:space="preserve"> for optimal magnetic configuration (Fig. 5). The radial profiles of the plasma density are shown in Fig. 6 and the density has maximum at the pressure of 4 </w:t>
      </w:r>
      <w:proofErr w:type="spellStart"/>
      <w:r w:rsidRPr="00E037EA">
        <w:rPr>
          <w:sz w:val="20"/>
        </w:rPr>
        <w:t>atm</w:t>
      </w:r>
      <w:proofErr w:type="spellEnd"/>
      <w:r w:rsidRPr="00E037EA">
        <w:rPr>
          <w:sz w:val="20"/>
        </w:rPr>
        <w:t xml:space="preserve"> at the input side of the gas puffing valve. The temperature profiles have maxima on the edges of the plasma camera and minimum on the axis (Fig. 7).</w:t>
      </w:r>
    </w:p>
    <w:p w:rsidR="00336721" w:rsidRPr="009F0434" w:rsidRDefault="00336721" w:rsidP="00336721">
      <w:pPr>
        <w:ind w:right="-72"/>
        <w:jc w:val="center"/>
        <w:rPr>
          <w:sz w:val="18"/>
          <w:szCs w:val="24"/>
        </w:rPr>
      </w:pPr>
      <w:r>
        <w:rPr>
          <w:noProof/>
          <w:sz w:val="36"/>
          <w:szCs w:val="36"/>
          <w:lang w:val="ru-RU" w:eastAsia="ru-RU"/>
        </w:rPr>
        <w:lastRenderedPageBreak/>
        <w:drawing>
          <wp:inline distT="0" distB="0" distL="0" distR="0" wp14:anchorId="6270B0F2" wp14:editId="184122F6">
            <wp:extent cx="2850515" cy="2409825"/>
            <wp:effectExtent l="0" t="0" r="698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6721" w:rsidRDefault="00336721" w:rsidP="0052577F">
      <w:pPr>
        <w:jc w:val="center"/>
        <w:rPr>
          <w:sz w:val="20"/>
        </w:rPr>
      </w:pPr>
      <w:r w:rsidRPr="00E27B65">
        <w:rPr>
          <w:b/>
          <w:caps/>
          <w:sz w:val="18"/>
          <w:szCs w:val="18"/>
        </w:rPr>
        <w:t>Figure 5.</w:t>
      </w:r>
      <w:r>
        <w:rPr>
          <w:sz w:val="18"/>
          <w:szCs w:val="18"/>
        </w:rPr>
        <w:t xml:space="preserve">  P</w:t>
      </w:r>
      <w:r w:rsidRPr="00E27B65">
        <w:rPr>
          <w:sz w:val="18"/>
          <w:szCs w:val="18"/>
        </w:rPr>
        <w:t xml:space="preserve">lasma density </w:t>
      </w:r>
      <w:r>
        <w:rPr>
          <w:sz w:val="18"/>
          <w:szCs w:val="18"/>
        </w:rPr>
        <w:t>vs</w:t>
      </w:r>
      <w:r w:rsidRPr="00E27B65">
        <w:rPr>
          <w:sz w:val="18"/>
          <w:szCs w:val="18"/>
        </w:rPr>
        <w:t xml:space="preserve"> gas pressure with different magnetic configuration.</w:t>
      </w:r>
    </w:p>
    <w:p w:rsidR="00AB528A" w:rsidRDefault="00AB528A" w:rsidP="004146AF">
      <w:pPr>
        <w:pStyle w:val="1"/>
      </w:pPr>
      <w:r>
        <w:fldChar w:fldCharType="begin"/>
      </w:r>
      <w:r w:rsidRPr="00762B3D">
        <w:instrText xml:space="preserve"> </w:instrText>
      </w:r>
      <w:r>
        <w:instrText>=4\*Roman</w:instrText>
      </w:r>
      <w:r w:rsidRPr="00762B3D">
        <w:instrText xml:space="preserve"> </w:instrText>
      </w:r>
      <w:r>
        <w:fldChar w:fldCharType="separate"/>
      </w:r>
      <w:r>
        <w:rPr>
          <w:noProof/>
        </w:rPr>
        <w:t>IV</w:t>
      </w:r>
      <w:r>
        <w:fldChar w:fldCharType="end"/>
      </w:r>
      <w:r>
        <w:t>. CONCLUSION</w:t>
      </w:r>
    </w:p>
    <w:p w:rsidR="00AB528A" w:rsidRPr="004146AF" w:rsidRDefault="00AB528A" w:rsidP="00AB528A">
      <w:pPr>
        <w:pStyle w:val="ae"/>
        <w:ind w:firstLine="567"/>
        <w:jc w:val="both"/>
        <w:rPr>
          <w:b w:val="0"/>
          <w:i/>
          <w:sz w:val="20"/>
          <w:szCs w:val="24"/>
          <w:lang w:val="en-US"/>
        </w:rPr>
      </w:pPr>
      <w:r w:rsidRPr="004146AF">
        <w:rPr>
          <w:b w:val="0"/>
          <w:sz w:val="20"/>
          <w:szCs w:val="24"/>
          <w:lang w:val="en-US"/>
        </w:rPr>
        <w:t xml:space="preserve">Different magnetic field configurations </w:t>
      </w:r>
      <w:r w:rsidR="00514C41">
        <w:rPr>
          <w:b w:val="0"/>
          <w:sz w:val="20"/>
          <w:szCs w:val="24"/>
          <w:lang w:val="en-US"/>
        </w:rPr>
        <w:t xml:space="preserve">of the plasma source </w:t>
      </w:r>
      <w:r w:rsidRPr="004146AF">
        <w:rPr>
          <w:b w:val="0"/>
          <w:sz w:val="20"/>
          <w:szCs w:val="24"/>
          <w:lang w:val="en-US"/>
        </w:rPr>
        <w:t xml:space="preserve">were studied. Plasma parameters were found to be very sensitive to minor changes </w:t>
      </w:r>
      <w:r w:rsidR="00514C41">
        <w:rPr>
          <w:b w:val="0"/>
          <w:sz w:val="20"/>
          <w:szCs w:val="24"/>
          <w:lang w:val="en-US"/>
        </w:rPr>
        <w:t>in</w:t>
      </w:r>
      <w:r w:rsidRPr="004146AF">
        <w:rPr>
          <w:b w:val="0"/>
          <w:sz w:val="20"/>
          <w:szCs w:val="24"/>
          <w:lang w:val="en-US"/>
        </w:rPr>
        <w:t xml:space="preserve"> the magnetic field geometry. A configuration with the opposite direction of the magnetic field in the mirror coil was found to provide maximal plasma density up to </w:t>
      </w:r>
      <w:proofErr w:type="spellStart"/>
      <w:r w:rsidRPr="004146AF">
        <w:rPr>
          <w:b w:val="0"/>
          <w:i/>
          <w:sz w:val="20"/>
          <w:szCs w:val="24"/>
          <w:lang w:val="en-US"/>
        </w:rPr>
        <w:t>n</w:t>
      </w:r>
      <w:r w:rsidRPr="004146AF">
        <w:rPr>
          <w:b w:val="0"/>
          <w:sz w:val="20"/>
          <w:szCs w:val="24"/>
          <w:vertAlign w:val="subscript"/>
          <w:lang w:val="en-US"/>
        </w:rPr>
        <w:t>max</w:t>
      </w:r>
      <w:proofErr w:type="spellEnd"/>
      <w:r w:rsidR="00356B0D">
        <w:rPr>
          <w:b w:val="0"/>
          <w:sz w:val="20"/>
          <w:szCs w:val="24"/>
          <w:vertAlign w:val="subscript"/>
          <w:lang w:val="en-US"/>
        </w:rPr>
        <w:t xml:space="preserve"> </w:t>
      </w:r>
      <w:r w:rsidRPr="004146AF">
        <w:rPr>
          <w:b w:val="0"/>
          <w:sz w:val="20"/>
          <w:szCs w:val="24"/>
          <w:lang w:val="en-US"/>
        </w:rPr>
        <w:t>=</w:t>
      </w:r>
      <w:r w:rsidR="00356B0D">
        <w:rPr>
          <w:b w:val="0"/>
          <w:sz w:val="20"/>
          <w:szCs w:val="24"/>
          <w:lang w:val="en-US"/>
        </w:rPr>
        <w:t xml:space="preserve"> </w:t>
      </w:r>
      <w:r w:rsidRPr="004146AF">
        <w:rPr>
          <w:b w:val="0"/>
          <w:sz w:val="20"/>
          <w:szCs w:val="24"/>
          <w:lang w:val="en-US"/>
        </w:rPr>
        <w:t>4.3×10</w:t>
      </w:r>
      <w:r w:rsidRPr="004146AF">
        <w:rPr>
          <w:b w:val="0"/>
          <w:sz w:val="20"/>
          <w:szCs w:val="24"/>
          <w:vertAlign w:val="superscript"/>
          <w:lang w:val="en-US"/>
        </w:rPr>
        <w:t>12</w:t>
      </w:r>
      <w:r w:rsidRPr="004146AF">
        <w:rPr>
          <w:b w:val="0"/>
          <w:sz w:val="20"/>
          <w:szCs w:val="24"/>
          <w:lang w:val="en-US"/>
        </w:rPr>
        <w:t xml:space="preserve"> cm</w:t>
      </w:r>
      <w:r w:rsidRPr="004146AF">
        <w:rPr>
          <w:b w:val="0"/>
          <w:sz w:val="20"/>
          <w:szCs w:val="24"/>
          <w:vertAlign w:val="superscript"/>
          <w:lang w:val="en-US"/>
        </w:rPr>
        <w:t>-3</w:t>
      </w:r>
      <w:r w:rsidRPr="004146AF">
        <w:rPr>
          <w:b w:val="0"/>
          <w:sz w:val="20"/>
          <w:szCs w:val="24"/>
          <w:lang w:val="en-US"/>
        </w:rPr>
        <w:t xml:space="preserve"> as compared with unidirectional configuration with </w:t>
      </w:r>
      <w:proofErr w:type="spellStart"/>
      <w:r w:rsidRPr="004146AF">
        <w:rPr>
          <w:b w:val="0"/>
          <w:i/>
          <w:sz w:val="20"/>
          <w:szCs w:val="24"/>
          <w:lang w:val="en-US"/>
        </w:rPr>
        <w:t>n</w:t>
      </w:r>
      <w:r w:rsidRPr="004146AF">
        <w:rPr>
          <w:b w:val="0"/>
          <w:sz w:val="20"/>
          <w:szCs w:val="24"/>
          <w:vertAlign w:val="subscript"/>
          <w:lang w:val="en-US"/>
        </w:rPr>
        <w:t>max</w:t>
      </w:r>
      <w:proofErr w:type="spellEnd"/>
      <w:r w:rsidRPr="004146AF">
        <w:rPr>
          <w:b w:val="0"/>
          <w:sz w:val="20"/>
          <w:szCs w:val="24"/>
          <w:lang w:val="en-US"/>
        </w:rPr>
        <w:t xml:space="preserve"> =</w:t>
      </w:r>
      <w:r w:rsidR="00356B0D">
        <w:rPr>
          <w:b w:val="0"/>
          <w:sz w:val="20"/>
          <w:szCs w:val="24"/>
          <w:lang w:val="en-US"/>
        </w:rPr>
        <w:t xml:space="preserve"> </w:t>
      </w:r>
      <w:r w:rsidRPr="004146AF">
        <w:rPr>
          <w:b w:val="0"/>
          <w:sz w:val="20"/>
          <w:szCs w:val="24"/>
          <w:lang w:val="en-US"/>
        </w:rPr>
        <w:t>0.5×10</w:t>
      </w:r>
      <w:r w:rsidRPr="004146AF">
        <w:rPr>
          <w:b w:val="0"/>
          <w:sz w:val="20"/>
          <w:szCs w:val="24"/>
          <w:vertAlign w:val="superscript"/>
          <w:lang w:val="en-US"/>
        </w:rPr>
        <w:t>12</w:t>
      </w:r>
      <w:r w:rsidRPr="004146AF">
        <w:rPr>
          <w:b w:val="0"/>
          <w:sz w:val="20"/>
          <w:szCs w:val="24"/>
          <w:lang w:val="en-US"/>
        </w:rPr>
        <w:t xml:space="preserve"> cm</w:t>
      </w:r>
      <w:r w:rsidRPr="004146AF">
        <w:rPr>
          <w:b w:val="0"/>
          <w:sz w:val="20"/>
          <w:szCs w:val="24"/>
          <w:vertAlign w:val="superscript"/>
          <w:lang w:val="en-US"/>
        </w:rPr>
        <w:t>-3</w:t>
      </w:r>
      <w:r w:rsidRPr="004146AF">
        <w:rPr>
          <w:b w:val="0"/>
          <w:sz w:val="20"/>
          <w:szCs w:val="24"/>
          <w:lang w:val="en-US"/>
        </w:rPr>
        <w:t>. At the same time, a profile with maximum of density is not steady-state as it was discussed in section III. As a result, minor changes in the magnetic coils currents and gas puffing makes it possible to produce plasma with a wide range of parameters.</w:t>
      </w:r>
      <w:r w:rsidRPr="004146AF">
        <w:rPr>
          <w:b w:val="0"/>
          <w:i/>
          <w:sz w:val="20"/>
          <w:szCs w:val="24"/>
          <w:lang w:val="en-US"/>
        </w:rPr>
        <w:t xml:space="preserve"> </w:t>
      </w:r>
      <w:r w:rsidRPr="004146AF">
        <w:rPr>
          <w:b w:val="0"/>
          <w:sz w:val="20"/>
          <w:szCs w:val="24"/>
          <w:lang w:val="en-US"/>
        </w:rPr>
        <w:t xml:space="preserve">It allows </w:t>
      </w:r>
      <w:proofErr w:type="gramStart"/>
      <w:r w:rsidRPr="004146AF">
        <w:rPr>
          <w:b w:val="0"/>
          <w:sz w:val="20"/>
          <w:szCs w:val="24"/>
          <w:lang w:val="en-US"/>
        </w:rPr>
        <w:t>to adopt</w:t>
      </w:r>
      <w:proofErr w:type="gramEnd"/>
      <w:r w:rsidRPr="004146AF">
        <w:rPr>
          <w:b w:val="0"/>
          <w:sz w:val="20"/>
          <w:szCs w:val="24"/>
          <w:lang w:val="en-US"/>
        </w:rPr>
        <w:t xml:space="preserve"> a decision about </w:t>
      </w:r>
      <w:r w:rsidR="00514C41">
        <w:rPr>
          <w:b w:val="0"/>
          <w:sz w:val="20"/>
          <w:szCs w:val="24"/>
          <w:lang w:val="en-US"/>
        </w:rPr>
        <w:t>farther studies o</w:t>
      </w:r>
      <w:r w:rsidRPr="004146AF">
        <w:rPr>
          <w:b w:val="0"/>
          <w:sz w:val="20"/>
          <w:szCs w:val="24"/>
          <w:lang w:val="en-US"/>
        </w:rPr>
        <w:t>f</w:t>
      </w:r>
      <w:r w:rsidR="00514C41">
        <w:rPr>
          <w:b w:val="0"/>
          <w:sz w:val="20"/>
          <w:szCs w:val="24"/>
          <w:lang w:val="en-US"/>
        </w:rPr>
        <w:t xml:space="preserve"> plasma parameters for different </w:t>
      </w:r>
      <w:r w:rsidRPr="004146AF">
        <w:rPr>
          <w:b w:val="0"/>
          <w:sz w:val="20"/>
          <w:szCs w:val="24"/>
          <w:lang w:val="en-US"/>
        </w:rPr>
        <w:t xml:space="preserve">magnetic field </w:t>
      </w:r>
      <w:r w:rsidR="00537F79" w:rsidRPr="004146AF">
        <w:rPr>
          <w:b w:val="0"/>
          <w:sz w:val="20"/>
          <w:szCs w:val="24"/>
          <w:lang w:val="en-US"/>
        </w:rPr>
        <w:t>geometr</w:t>
      </w:r>
      <w:r w:rsidR="00537F79">
        <w:rPr>
          <w:b w:val="0"/>
          <w:sz w:val="20"/>
          <w:szCs w:val="24"/>
          <w:lang w:val="en-US"/>
        </w:rPr>
        <w:t>ies</w:t>
      </w:r>
      <w:r w:rsidRPr="004146AF">
        <w:rPr>
          <w:b w:val="0"/>
          <w:sz w:val="20"/>
          <w:szCs w:val="24"/>
          <w:lang w:val="en-US"/>
        </w:rPr>
        <w:t xml:space="preserve">. </w:t>
      </w:r>
      <w:r w:rsidRPr="004146AF">
        <w:rPr>
          <w:b w:val="0"/>
          <w:i/>
          <w:sz w:val="20"/>
          <w:szCs w:val="24"/>
          <w:lang w:val="en-US"/>
        </w:rPr>
        <w:t xml:space="preserve">   </w:t>
      </w:r>
    </w:p>
    <w:p w:rsidR="00AB528A" w:rsidRPr="004146AF" w:rsidRDefault="00514C41" w:rsidP="00AB528A">
      <w:pPr>
        <w:pStyle w:val="ae"/>
        <w:ind w:firstLine="567"/>
        <w:jc w:val="both"/>
        <w:rPr>
          <w:b w:val="0"/>
          <w:sz w:val="20"/>
          <w:szCs w:val="24"/>
          <w:lang w:val="en-US"/>
        </w:rPr>
      </w:pPr>
      <w:r>
        <w:rPr>
          <w:b w:val="0"/>
          <w:sz w:val="20"/>
          <w:szCs w:val="24"/>
          <w:lang w:val="en-US"/>
        </w:rPr>
        <w:t>Application of</w:t>
      </w:r>
      <w:r w:rsidR="00AB528A" w:rsidRPr="004146AF">
        <w:rPr>
          <w:b w:val="0"/>
          <w:sz w:val="20"/>
          <w:szCs w:val="24"/>
          <w:lang w:val="en-US"/>
        </w:rPr>
        <w:t xml:space="preserve"> inhomogeneous magnetic field in a helicon plasma source significantly improves plasma parameters and RF energy absorption. Increasing the electron temperature maxima can be a sequence of the excitation of small-scale </w:t>
      </w:r>
      <w:proofErr w:type="spellStart"/>
      <w:r w:rsidR="00AB528A" w:rsidRPr="004146AF">
        <w:rPr>
          <w:b w:val="0"/>
          <w:sz w:val="20"/>
          <w:szCs w:val="24"/>
          <w:lang w:val="en-US"/>
        </w:rPr>
        <w:t>Trivelpiece</w:t>
      </w:r>
      <w:proofErr w:type="spellEnd"/>
      <w:r w:rsidR="00AB528A" w:rsidRPr="004146AF">
        <w:rPr>
          <w:b w:val="0"/>
          <w:sz w:val="20"/>
          <w:szCs w:val="24"/>
          <w:lang w:val="en-US"/>
        </w:rPr>
        <w:t xml:space="preserve">-Gold waves on the edge of plasma column. The waves can directly transport RF power into the center of the plasma column along resonance cones as it was </w:t>
      </w:r>
      <w:r>
        <w:rPr>
          <w:b w:val="0"/>
          <w:sz w:val="20"/>
          <w:szCs w:val="24"/>
          <w:lang w:val="en-US"/>
        </w:rPr>
        <w:t>considered</w:t>
      </w:r>
      <w:r w:rsidR="00AB528A" w:rsidRPr="004146AF">
        <w:rPr>
          <w:b w:val="0"/>
          <w:sz w:val="20"/>
          <w:szCs w:val="24"/>
          <w:lang w:val="en-US"/>
        </w:rPr>
        <w:t xml:space="preserve"> in Ref. 10, 11. Intensive heating of the plasma edge increase</w:t>
      </w:r>
      <w:r>
        <w:rPr>
          <w:b w:val="0"/>
          <w:sz w:val="20"/>
          <w:szCs w:val="24"/>
          <w:lang w:val="en-US"/>
        </w:rPr>
        <w:t>s</w:t>
      </w:r>
      <w:r w:rsidR="00AB528A" w:rsidRPr="004146AF">
        <w:rPr>
          <w:b w:val="0"/>
          <w:sz w:val="20"/>
          <w:szCs w:val="24"/>
          <w:lang w:val="en-US"/>
        </w:rPr>
        <w:t xml:space="preserve"> gas ionization efficiency</w:t>
      </w:r>
      <w:r>
        <w:rPr>
          <w:b w:val="0"/>
          <w:sz w:val="20"/>
          <w:szCs w:val="24"/>
          <w:lang w:val="en-US"/>
        </w:rPr>
        <w:t>.</w:t>
      </w:r>
    </w:p>
    <w:p w:rsidR="00AB528A" w:rsidRPr="00B0354C" w:rsidRDefault="00AB528A" w:rsidP="004146AF">
      <w:pPr>
        <w:pStyle w:val="1"/>
        <w:rPr>
          <w:lang w:eastAsia="ru-RU"/>
        </w:rPr>
      </w:pPr>
      <w:r w:rsidRPr="00B0354C">
        <w:rPr>
          <w:lang w:eastAsia="ru-RU"/>
        </w:rPr>
        <w:t>ACKNOWLEDGMENTS</w:t>
      </w:r>
    </w:p>
    <w:p w:rsidR="00AB528A" w:rsidRPr="004146AF" w:rsidRDefault="00AB528A" w:rsidP="00AB528A">
      <w:pPr>
        <w:ind w:firstLine="708"/>
        <w:rPr>
          <w:sz w:val="20"/>
          <w:szCs w:val="24"/>
          <w:lang w:eastAsia="ru-RU"/>
        </w:rPr>
      </w:pPr>
      <w:r w:rsidRPr="004146AF">
        <w:rPr>
          <w:sz w:val="20"/>
          <w:szCs w:val="24"/>
          <w:lang w:eastAsia="ru-RU"/>
        </w:rPr>
        <w:t>This work has been supported by Russian Science Foundation (project N 14-50-00080).</w:t>
      </w:r>
    </w:p>
    <w:p w:rsidR="00AB528A" w:rsidRPr="004146AF" w:rsidRDefault="00AB528A" w:rsidP="00E73C29">
      <w:pPr>
        <w:pStyle w:val="1"/>
      </w:pPr>
      <w:r w:rsidRPr="00E73C29">
        <w:t>REFERENCES</w:t>
      </w:r>
      <w:r w:rsidRPr="004146AF">
        <w:fldChar w:fldCharType="begin"/>
      </w:r>
      <w:r w:rsidRPr="004146AF">
        <w:instrText xml:space="preserve"> =2\*Roman </w:instrText>
      </w:r>
      <w:r w:rsidRPr="004146AF">
        <w:fldChar w:fldCharType="end"/>
      </w:r>
      <w:r w:rsidRPr="004146AF">
        <w:fldChar w:fldCharType="begin"/>
      </w:r>
      <w:r w:rsidRPr="004146AF">
        <w:instrText xml:space="preserve"> =2\*Roman </w:instrText>
      </w:r>
      <w:r w:rsidRPr="004146AF">
        <w:fldChar w:fldCharType="end"/>
      </w:r>
    </w:p>
    <w:p w:rsidR="00AB528A" w:rsidRDefault="00AB528A" w:rsidP="004A455E">
      <w:pPr>
        <w:pStyle w:val="ac"/>
        <w:numPr>
          <w:ilvl w:val="0"/>
          <w:numId w:val="48"/>
        </w:numPr>
        <w:tabs>
          <w:tab w:val="left" w:pos="709"/>
        </w:tabs>
        <w:ind w:left="567" w:hanging="425"/>
        <w:jc w:val="both"/>
        <w:rPr>
          <w:lang w:val="en-US"/>
        </w:rPr>
      </w:pPr>
      <w:r w:rsidRPr="00620BBE">
        <w:rPr>
          <w:lang w:val="en-US"/>
        </w:rPr>
        <w:t xml:space="preserve">P. </w:t>
      </w:r>
      <w:proofErr w:type="spellStart"/>
      <w:r w:rsidRPr="00620BBE">
        <w:rPr>
          <w:lang w:val="en-US"/>
        </w:rPr>
        <w:t>Chabert</w:t>
      </w:r>
      <w:proofErr w:type="spellEnd"/>
      <w:r w:rsidR="00454168">
        <w:rPr>
          <w:lang w:val="en-US"/>
        </w:rPr>
        <w:t xml:space="preserve"> </w:t>
      </w:r>
      <w:proofErr w:type="spellStart"/>
      <w:r w:rsidR="00454168">
        <w:rPr>
          <w:lang w:val="en-US"/>
        </w:rPr>
        <w:t>N.Braithwaite</w:t>
      </w:r>
      <w:proofErr w:type="spellEnd"/>
      <w:r w:rsidRPr="00620BBE">
        <w:rPr>
          <w:lang w:val="en-US"/>
        </w:rPr>
        <w:t xml:space="preserve">, </w:t>
      </w:r>
      <w:r w:rsidR="0036202D">
        <w:rPr>
          <w:lang w:val="en-US"/>
        </w:rPr>
        <w:t xml:space="preserve">in </w:t>
      </w:r>
      <w:r w:rsidRPr="0036202D">
        <w:rPr>
          <w:i/>
          <w:lang w:val="en-US"/>
        </w:rPr>
        <w:t>Phy</w:t>
      </w:r>
      <w:r w:rsidR="0036202D" w:rsidRPr="0036202D">
        <w:rPr>
          <w:i/>
          <w:lang w:val="en-US"/>
        </w:rPr>
        <w:t>sics of Radio-Frequency Plasmas</w:t>
      </w:r>
      <w:r w:rsidRPr="00620BBE">
        <w:rPr>
          <w:lang w:val="en-US"/>
        </w:rPr>
        <w:t>, Cambridge University Press, p. 260-285 (2011).</w:t>
      </w:r>
    </w:p>
    <w:p w:rsidR="00620BBE" w:rsidRDefault="00620BBE" w:rsidP="004A455E">
      <w:pPr>
        <w:pStyle w:val="ac"/>
        <w:numPr>
          <w:ilvl w:val="0"/>
          <w:numId w:val="48"/>
        </w:numPr>
        <w:tabs>
          <w:tab w:val="left" w:pos="709"/>
        </w:tabs>
        <w:ind w:left="567" w:hanging="425"/>
        <w:jc w:val="both"/>
        <w:rPr>
          <w:lang w:val="en-US"/>
        </w:rPr>
      </w:pPr>
      <w:r>
        <w:rPr>
          <w:lang w:val="en-US"/>
        </w:rPr>
        <w:t>I.</w:t>
      </w:r>
      <w:r w:rsidR="00D733A6">
        <w:rPr>
          <w:lang w:val="en-US"/>
        </w:rPr>
        <w:t xml:space="preserve"> </w:t>
      </w:r>
      <w:r w:rsidRPr="00620BBE">
        <w:rPr>
          <w:lang w:val="en-US"/>
        </w:rPr>
        <w:t xml:space="preserve">A. </w:t>
      </w:r>
      <w:proofErr w:type="spellStart"/>
      <w:r w:rsidRPr="00620BBE">
        <w:rPr>
          <w:lang w:val="en-US"/>
        </w:rPr>
        <w:t>Kotelnikov</w:t>
      </w:r>
      <w:proofErr w:type="spellEnd"/>
      <w:r w:rsidRPr="00620BBE">
        <w:rPr>
          <w:lang w:val="en-US"/>
        </w:rPr>
        <w:t xml:space="preserve">, Physics of plasmas </w:t>
      </w:r>
      <w:r w:rsidRPr="00620BBE">
        <w:rPr>
          <w:b/>
          <w:lang w:val="en-US"/>
        </w:rPr>
        <w:t>21</w:t>
      </w:r>
      <w:r w:rsidRPr="00620BBE">
        <w:rPr>
          <w:lang w:val="en-US"/>
        </w:rPr>
        <w:t>, 122101 (2014</w:t>
      </w:r>
      <w:r>
        <w:rPr>
          <w:lang w:val="en-US"/>
        </w:rPr>
        <w:t>).</w:t>
      </w:r>
    </w:p>
    <w:p w:rsidR="00AB528A" w:rsidRPr="00620BBE" w:rsidRDefault="00AB528A" w:rsidP="004A455E">
      <w:pPr>
        <w:pStyle w:val="ac"/>
        <w:numPr>
          <w:ilvl w:val="0"/>
          <w:numId w:val="48"/>
        </w:numPr>
        <w:tabs>
          <w:tab w:val="left" w:pos="709"/>
        </w:tabs>
        <w:ind w:left="567" w:hanging="425"/>
        <w:jc w:val="both"/>
        <w:rPr>
          <w:lang w:val="en-US"/>
        </w:rPr>
      </w:pPr>
      <w:r w:rsidRPr="00620BBE">
        <w:rPr>
          <w:lang w:val="en-US"/>
        </w:rPr>
        <w:t xml:space="preserve">Th. </w:t>
      </w:r>
      <w:proofErr w:type="spellStart"/>
      <w:r w:rsidRPr="00620BBE">
        <w:rPr>
          <w:lang w:val="en-US"/>
        </w:rPr>
        <w:t>Enk</w:t>
      </w:r>
      <w:proofErr w:type="spellEnd"/>
      <w:r w:rsidRPr="00620BBE">
        <w:rPr>
          <w:lang w:val="en-US"/>
        </w:rPr>
        <w:t xml:space="preserve"> and M. Kramer, Phys. Plasmas </w:t>
      </w:r>
      <w:r w:rsidRPr="006516EF">
        <w:rPr>
          <w:rStyle w:val="citationvolume"/>
          <w:b/>
          <w:lang w:val="en-US"/>
        </w:rPr>
        <w:t>7</w:t>
      </w:r>
      <w:r w:rsidRPr="00620BBE">
        <w:rPr>
          <w:lang w:val="en-US"/>
        </w:rPr>
        <w:t>, 4308 (2000).</w:t>
      </w:r>
    </w:p>
    <w:p w:rsidR="00AB528A" w:rsidRPr="00620BBE" w:rsidRDefault="00AB528A" w:rsidP="004A455E">
      <w:pPr>
        <w:pStyle w:val="ac"/>
        <w:numPr>
          <w:ilvl w:val="0"/>
          <w:numId w:val="48"/>
        </w:numPr>
        <w:tabs>
          <w:tab w:val="left" w:pos="709"/>
        </w:tabs>
        <w:ind w:left="567" w:hanging="425"/>
        <w:jc w:val="both"/>
      </w:pPr>
      <w:r w:rsidRPr="00F340F4">
        <w:rPr>
          <w:lang w:val="en-US"/>
        </w:rPr>
        <w:t xml:space="preserve">David D. Blackwell and Francis F. Chen, Plasma Sources Sci. </w:t>
      </w:r>
      <w:proofErr w:type="spellStart"/>
      <w:r w:rsidRPr="00620BBE">
        <w:t>Technol</w:t>
      </w:r>
      <w:proofErr w:type="spellEnd"/>
      <w:r w:rsidRPr="00620BBE">
        <w:t xml:space="preserve">. </w:t>
      </w:r>
      <w:r w:rsidRPr="006516EF">
        <w:rPr>
          <w:b/>
        </w:rPr>
        <w:t>6</w:t>
      </w:r>
      <w:r w:rsidRPr="00620BBE">
        <w:t>, 569–576 (1997).</w:t>
      </w:r>
    </w:p>
    <w:p w:rsidR="00AB528A" w:rsidRPr="006516EF" w:rsidRDefault="00AB528A" w:rsidP="004A455E">
      <w:pPr>
        <w:pStyle w:val="ac"/>
        <w:numPr>
          <w:ilvl w:val="0"/>
          <w:numId w:val="48"/>
        </w:numPr>
        <w:tabs>
          <w:tab w:val="left" w:pos="709"/>
        </w:tabs>
        <w:ind w:left="567" w:hanging="425"/>
        <w:jc w:val="both"/>
        <w:rPr>
          <w:lang w:val="en-US"/>
        </w:rPr>
      </w:pPr>
      <w:r w:rsidRPr="006516EF">
        <w:rPr>
          <w:lang w:val="en-US"/>
        </w:rPr>
        <w:t>M.</w:t>
      </w:r>
      <w:r w:rsidR="00D733A6">
        <w:rPr>
          <w:lang w:val="en-US"/>
        </w:rPr>
        <w:t xml:space="preserve"> </w:t>
      </w:r>
      <w:r w:rsidRPr="006516EF">
        <w:rPr>
          <w:lang w:val="en-US"/>
        </w:rPr>
        <w:t xml:space="preserve">D. Carter, F. W. </w:t>
      </w:r>
      <w:proofErr w:type="spellStart"/>
      <w:r w:rsidRPr="006516EF">
        <w:rPr>
          <w:lang w:val="en-US"/>
        </w:rPr>
        <w:t>Baity</w:t>
      </w:r>
      <w:proofErr w:type="spellEnd"/>
      <w:r w:rsidRPr="006516EF">
        <w:rPr>
          <w:lang w:val="en-US"/>
        </w:rPr>
        <w:t>, Jr. G. C. Barber, and R. H. Goulding, Physics of plasmas</w:t>
      </w:r>
      <w:r w:rsidR="006516EF">
        <w:rPr>
          <w:lang w:val="en-US"/>
        </w:rPr>
        <w:t xml:space="preserve"> </w:t>
      </w:r>
      <w:r w:rsidRPr="006516EF">
        <w:rPr>
          <w:b/>
          <w:lang w:val="en-US"/>
        </w:rPr>
        <w:t>9</w:t>
      </w:r>
      <w:r w:rsidRPr="006516EF">
        <w:rPr>
          <w:lang w:val="en-US"/>
        </w:rPr>
        <w:t>, 5097 (2002).</w:t>
      </w:r>
    </w:p>
    <w:p w:rsidR="00AB528A" w:rsidRPr="00D733A6" w:rsidRDefault="00AB528A" w:rsidP="004A455E">
      <w:pPr>
        <w:pStyle w:val="ac"/>
        <w:numPr>
          <w:ilvl w:val="0"/>
          <w:numId w:val="48"/>
        </w:numPr>
        <w:tabs>
          <w:tab w:val="left" w:pos="709"/>
        </w:tabs>
        <w:ind w:left="567" w:hanging="425"/>
        <w:jc w:val="both"/>
        <w:rPr>
          <w:lang w:val="en-US"/>
        </w:rPr>
      </w:pPr>
      <w:r w:rsidRPr="00F340F4">
        <w:rPr>
          <w:lang w:val="en-US"/>
        </w:rPr>
        <w:t>F.</w:t>
      </w:r>
      <w:r w:rsidR="00D733A6">
        <w:rPr>
          <w:lang w:val="en-US"/>
        </w:rPr>
        <w:t xml:space="preserve"> </w:t>
      </w:r>
      <w:r w:rsidRPr="00F340F4">
        <w:rPr>
          <w:lang w:val="en-US"/>
        </w:rPr>
        <w:t xml:space="preserve">F. Chen, Plasma Phys. </w:t>
      </w:r>
      <w:r w:rsidRPr="00D733A6">
        <w:rPr>
          <w:lang w:val="en-US"/>
        </w:rPr>
        <w:t xml:space="preserve">Control. Fusion </w:t>
      </w:r>
      <w:r w:rsidRPr="00D733A6">
        <w:rPr>
          <w:b/>
          <w:lang w:val="en-US"/>
        </w:rPr>
        <w:t>33</w:t>
      </w:r>
      <w:r w:rsidRPr="00D733A6">
        <w:rPr>
          <w:lang w:val="en-US"/>
        </w:rPr>
        <w:t>(4), 339–64, 1991.</w:t>
      </w:r>
    </w:p>
    <w:p w:rsidR="00AB528A" w:rsidRPr="0046141F" w:rsidRDefault="0046141F" w:rsidP="004A455E">
      <w:pPr>
        <w:pStyle w:val="ac"/>
        <w:numPr>
          <w:ilvl w:val="0"/>
          <w:numId w:val="48"/>
        </w:numPr>
        <w:tabs>
          <w:tab w:val="left" w:pos="709"/>
        </w:tabs>
        <w:ind w:left="567" w:hanging="425"/>
        <w:jc w:val="both"/>
        <w:rPr>
          <w:lang w:val="en-US"/>
        </w:rPr>
      </w:pPr>
      <w:r>
        <w:rPr>
          <w:lang w:val="en-US"/>
        </w:rPr>
        <w:t xml:space="preserve">M. </w:t>
      </w:r>
      <w:proofErr w:type="spellStart"/>
      <w:r>
        <w:rPr>
          <w:lang w:val="en-US"/>
        </w:rPr>
        <w:t>Balkey</w:t>
      </w:r>
      <w:proofErr w:type="spellEnd"/>
      <w:r>
        <w:rPr>
          <w:lang w:val="en-US"/>
        </w:rPr>
        <w:t xml:space="preserve">, </w:t>
      </w:r>
      <w:r w:rsidR="00AB528A" w:rsidRPr="0046141F">
        <w:rPr>
          <w:i/>
          <w:lang w:val="en-US"/>
        </w:rPr>
        <w:t>Optimization of a helicon plasma source for maximum d</w:t>
      </w:r>
      <w:r w:rsidRPr="0046141F">
        <w:rPr>
          <w:i/>
          <w:lang w:val="en-US"/>
        </w:rPr>
        <w:t>ensity with minimal ion heating</w:t>
      </w:r>
      <w:r w:rsidR="00AB528A" w:rsidRPr="0046141F">
        <w:rPr>
          <w:lang w:val="en-US"/>
        </w:rPr>
        <w:t xml:space="preserve">, </w:t>
      </w:r>
      <w:r w:rsidRPr="0046141F">
        <w:rPr>
          <w:lang w:val="en-US"/>
        </w:rPr>
        <w:t xml:space="preserve">Ph.D. </w:t>
      </w:r>
      <w:r>
        <w:rPr>
          <w:lang w:val="en-US"/>
        </w:rPr>
        <w:t xml:space="preserve">Thesis, </w:t>
      </w:r>
      <w:r w:rsidR="00AB528A" w:rsidRPr="0046141F">
        <w:rPr>
          <w:lang w:val="en-US"/>
        </w:rPr>
        <w:t>West Virginia University, 2000.</w:t>
      </w:r>
    </w:p>
    <w:p w:rsidR="00AB528A" w:rsidRPr="00620BBE" w:rsidRDefault="00AB528A" w:rsidP="004A455E">
      <w:pPr>
        <w:pStyle w:val="ac"/>
        <w:numPr>
          <w:ilvl w:val="0"/>
          <w:numId w:val="48"/>
        </w:numPr>
        <w:tabs>
          <w:tab w:val="left" w:pos="709"/>
        </w:tabs>
        <w:ind w:left="567" w:hanging="425"/>
        <w:jc w:val="both"/>
      </w:pPr>
      <w:r w:rsidRPr="00F340F4">
        <w:rPr>
          <w:lang w:val="en-US"/>
        </w:rPr>
        <w:t xml:space="preserve">F. F. Chen, M. J. Hsieh, M. Light, Plasma Sources Sci. </w:t>
      </w:r>
      <w:proofErr w:type="spellStart"/>
      <w:r w:rsidRPr="00620BBE">
        <w:t>Technol</w:t>
      </w:r>
      <w:proofErr w:type="spellEnd"/>
      <w:r w:rsidRPr="00620BBE">
        <w:t xml:space="preserve">. </w:t>
      </w:r>
      <w:r w:rsidRPr="006516EF">
        <w:rPr>
          <w:b/>
        </w:rPr>
        <w:t>3</w:t>
      </w:r>
      <w:r w:rsidRPr="00620BBE">
        <w:t xml:space="preserve">, 49–57 (1994). </w:t>
      </w:r>
    </w:p>
    <w:p w:rsidR="00AB528A" w:rsidRPr="00D733A6" w:rsidRDefault="00AB528A" w:rsidP="004A455E">
      <w:pPr>
        <w:pStyle w:val="ac"/>
        <w:numPr>
          <w:ilvl w:val="0"/>
          <w:numId w:val="48"/>
        </w:numPr>
        <w:tabs>
          <w:tab w:val="left" w:pos="709"/>
        </w:tabs>
        <w:ind w:left="567" w:hanging="425"/>
        <w:jc w:val="both"/>
        <w:rPr>
          <w:lang w:val="en-US"/>
        </w:rPr>
      </w:pPr>
      <w:r w:rsidRPr="00F340F4">
        <w:rPr>
          <w:lang w:val="en-US"/>
        </w:rPr>
        <w:t>T</w:t>
      </w:r>
      <w:r w:rsidR="00D733A6">
        <w:rPr>
          <w:lang w:val="en-US"/>
        </w:rPr>
        <w:t>.</w:t>
      </w:r>
      <w:r w:rsidRPr="00F340F4">
        <w:rPr>
          <w:lang w:val="en-US"/>
        </w:rPr>
        <w:t xml:space="preserve"> </w:t>
      </w:r>
      <w:proofErr w:type="spellStart"/>
      <w:r w:rsidRPr="00F340F4">
        <w:rPr>
          <w:lang w:val="en-US"/>
        </w:rPr>
        <w:t>Lafleur</w:t>
      </w:r>
      <w:proofErr w:type="spellEnd"/>
      <w:r w:rsidRPr="00F340F4">
        <w:rPr>
          <w:lang w:val="en-US"/>
        </w:rPr>
        <w:t>, C</w:t>
      </w:r>
      <w:r w:rsidR="00D733A6">
        <w:rPr>
          <w:lang w:val="en-US"/>
        </w:rPr>
        <w:t>.</w:t>
      </w:r>
      <w:r w:rsidRPr="00F340F4">
        <w:rPr>
          <w:lang w:val="en-US"/>
        </w:rPr>
        <w:t xml:space="preserve"> Charles and R</w:t>
      </w:r>
      <w:r w:rsidR="00D733A6">
        <w:rPr>
          <w:lang w:val="en-US"/>
        </w:rPr>
        <w:t>.</w:t>
      </w:r>
      <w:r w:rsidRPr="00F340F4">
        <w:rPr>
          <w:lang w:val="en-US"/>
        </w:rPr>
        <w:t xml:space="preserve"> W</w:t>
      </w:r>
      <w:r w:rsidR="00D733A6">
        <w:rPr>
          <w:lang w:val="en-US"/>
        </w:rPr>
        <w:t>.</w:t>
      </w:r>
      <w:r w:rsidRPr="00F340F4">
        <w:rPr>
          <w:lang w:val="en-US"/>
        </w:rPr>
        <w:t xml:space="preserve"> Boswell, J. Phys. </w:t>
      </w:r>
      <w:r w:rsidRPr="00D733A6">
        <w:rPr>
          <w:lang w:val="en-US"/>
        </w:rPr>
        <w:t xml:space="preserve">D: Appl. Phys. </w:t>
      </w:r>
      <w:r w:rsidRPr="00D733A6">
        <w:rPr>
          <w:b/>
          <w:lang w:val="en-US"/>
        </w:rPr>
        <w:t>44</w:t>
      </w:r>
      <w:r w:rsidRPr="00D733A6">
        <w:rPr>
          <w:lang w:val="en-US"/>
        </w:rPr>
        <w:t>, 055202 (2011).</w:t>
      </w:r>
    </w:p>
    <w:p w:rsidR="00AB528A" w:rsidRPr="00F340F4" w:rsidRDefault="00805B4B" w:rsidP="004A455E">
      <w:pPr>
        <w:pStyle w:val="ac"/>
        <w:numPr>
          <w:ilvl w:val="0"/>
          <w:numId w:val="48"/>
        </w:numPr>
        <w:tabs>
          <w:tab w:val="left" w:pos="709"/>
        </w:tabs>
        <w:ind w:left="567" w:hanging="425"/>
        <w:jc w:val="both"/>
        <w:rPr>
          <w:lang w:val="en-US"/>
        </w:rPr>
      </w:pPr>
      <w:r w:rsidRPr="00F340F4">
        <w:rPr>
          <w:lang w:val="en-US"/>
        </w:rPr>
        <w:t>Questions of atomic science and technique.</w:t>
      </w:r>
      <w:r w:rsidR="00AB528A" w:rsidRPr="00F340F4">
        <w:rPr>
          <w:lang w:val="en-US"/>
        </w:rPr>
        <w:t xml:space="preserve"> </w:t>
      </w:r>
      <w:r w:rsidRPr="00F340F4">
        <w:rPr>
          <w:lang w:val="en-US"/>
        </w:rPr>
        <w:t xml:space="preserve">Series: Plasma electronics and new methods of acceleration </w:t>
      </w:r>
      <w:r w:rsidR="00AB528A" w:rsidRPr="00F340F4">
        <w:rPr>
          <w:lang w:val="en-US"/>
        </w:rPr>
        <w:t xml:space="preserve">(3), </w:t>
      </w:r>
      <w:r w:rsidR="00AB528A" w:rsidRPr="00F340F4">
        <w:rPr>
          <w:b/>
          <w:lang w:val="en-US"/>
        </w:rPr>
        <w:t>4</w:t>
      </w:r>
      <w:r w:rsidR="00AB528A" w:rsidRPr="00F340F4">
        <w:rPr>
          <w:lang w:val="en-US"/>
        </w:rPr>
        <w:t>, 241 – 246 (2003).</w:t>
      </w:r>
    </w:p>
    <w:p w:rsidR="00BB18B6" w:rsidRPr="0052577F" w:rsidRDefault="00AB528A" w:rsidP="0010042C">
      <w:pPr>
        <w:pStyle w:val="ac"/>
        <w:numPr>
          <w:ilvl w:val="0"/>
          <w:numId w:val="48"/>
        </w:numPr>
        <w:tabs>
          <w:tab w:val="left" w:pos="709"/>
        </w:tabs>
        <w:ind w:left="567" w:hanging="425"/>
        <w:jc w:val="both"/>
        <w:rPr>
          <w:sz w:val="18"/>
          <w:szCs w:val="18"/>
        </w:rPr>
      </w:pPr>
      <w:r w:rsidRPr="0052577F">
        <w:rPr>
          <w:lang w:val="en-US"/>
        </w:rPr>
        <w:t>D.</w:t>
      </w:r>
      <w:r w:rsidR="00D733A6" w:rsidRPr="0052577F">
        <w:rPr>
          <w:lang w:val="en-US"/>
        </w:rPr>
        <w:t xml:space="preserve"> </w:t>
      </w:r>
      <w:r w:rsidRPr="0052577F">
        <w:rPr>
          <w:lang w:val="en-US"/>
        </w:rPr>
        <w:t xml:space="preserve">D. Blackwell, T.G. </w:t>
      </w:r>
      <w:proofErr w:type="spellStart"/>
      <w:r w:rsidRPr="0052577F">
        <w:rPr>
          <w:lang w:val="en-US"/>
        </w:rPr>
        <w:t>Madziwa</w:t>
      </w:r>
      <w:proofErr w:type="spellEnd"/>
      <w:r w:rsidRPr="0052577F">
        <w:rPr>
          <w:lang w:val="en-US"/>
        </w:rPr>
        <w:t xml:space="preserve">, D. </w:t>
      </w:r>
      <w:proofErr w:type="spellStart"/>
      <w:r w:rsidRPr="0052577F">
        <w:rPr>
          <w:lang w:val="en-US"/>
        </w:rPr>
        <w:t>Arnush</w:t>
      </w:r>
      <w:proofErr w:type="spellEnd"/>
      <w:r w:rsidRPr="0052577F">
        <w:rPr>
          <w:lang w:val="en-US"/>
        </w:rPr>
        <w:t xml:space="preserve">, </w:t>
      </w:r>
      <w:r w:rsidR="00855F0D" w:rsidRPr="0052577F">
        <w:rPr>
          <w:lang w:val="en-US"/>
        </w:rPr>
        <w:t>F.F. Chen</w:t>
      </w:r>
      <w:r w:rsidRPr="0052577F">
        <w:rPr>
          <w:lang w:val="en-US"/>
        </w:rPr>
        <w:t xml:space="preserve">, Phys. Rev. Lett., </w:t>
      </w:r>
      <w:r w:rsidRPr="0052577F">
        <w:rPr>
          <w:b/>
          <w:lang w:val="en-US"/>
        </w:rPr>
        <w:t>88</w:t>
      </w:r>
      <w:r w:rsidR="0046141F" w:rsidRPr="0052577F">
        <w:rPr>
          <w:b/>
          <w:lang w:val="en-US"/>
        </w:rPr>
        <w:t xml:space="preserve"> </w:t>
      </w:r>
      <w:r w:rsidRPr="0052577F">
        <w:rPr>
          <w:lang w:val="en-US"/>
        </w:rPr>
        <w:t>(14), 145002, 2002.</w:t>
      </w:r>
    </w:p>
    <w:sectPr w:rsidR="00BB18B6" w:rsidRPr="0052577F" w:rsidSect="0025698F">
      <w:pgSz w:w="12240" w:h="15840" w:code="1"/>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平成明朝">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3EA772D"/>
    <w:multiLevelType w:val="hybridMultilevel"/>
    <w:tmpl w:val="804E8E34"/>
    <w:lvl w:ilvl="0" w:tplc="38BE5D2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C7714BF"/>
    <w:multiLevelType w:val="hybridMultilevel"/>
    <w:tmpl w:val="85D24ABC"/>
    <w:lvl w:ilvl="0" w:tplc="32E4B7C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DBA045A"/>
    <w:multiLevelType w:val="hybridMultilevel"/>
    <w:tmpl w:val="62B4F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9119C"/>
    <w:multiLevelType w:val="hybridMultilevel"/>
    <w:tmpl w:val="043CB636"/>
    <w:lvl w:ilvl="0" w:tplc="38BE5D2E">
      <w:start w:val="1"/>
      <w:numFmt w:val="decimal"/>
      <w:lvlText w:val="[%1]"/>
      <w:lvlJc w:val="left"/>
      <w:pPr>
        <w:ind w:left="1080" w:hanging="360"/>
      </w:pPr>
      <w:rPr>
        <w:rFonts w:hint="default"/>
      </w:rPr>
    </w:lvl>
    <w:lvl w:ilvl="1" w:tplc="27DC6F4C">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495BFA"/>
    <w:multiLevelType w:val="hybridMultilevel"/>
    <w:tmpl w:val="C240C1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6"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8"/>
  </w:num>
  <w:num w:numId="2">
    <w:abstractNumId w:val="1"/>
  </w:num>
  <w:num w:numId="3">
    <w:abstractNumId w:val="15"/>
  </w:num>
  <w:num w:numId="4">
    <w:abstractNumId w:val="8"/>
  </w:num>
  <w:num w:numId="5">
    <w:abstractNumId w:val="14"/>
  </w:num>
  <w:num w:numId="6">
    <w:abstractNumId w:val="3"/>
  </w:num>
  <w:num w:numId="7">
    <w:abstractNumId w:val="7"/>
  </w:num>
  <w:num w:numId="8">
    <w:abstractNumId w:val="0"/>
  </w:num>
  <w:num w:numId="9">
    <w:abstractNumId w:val="17"/>
  </w:num>
  <w:num w:numId="10">
    <w:abstractNumId w:val="10"/>
  </w:num>
  <w:num w:numId="11">
    <w:abstractNumId w:val="16"/>
  </w:num>
  <w:num w:numId="12">
    <w:abstractNumId w:val="12"/>
  </w:num>
  <w:num w:numId="13">
    <w:abstractNumId w:val="6"/>
  </w:num>
  <w:num w:numId="14">
    <w:abstractNumId w:val="17"/>
  </w:num>
  <w:num w:numId="15">
    <w:abstractNumId w:val="9"/>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4"/>
  </w:num>
  <w:num w:numId="30">
    <w:abstractNumId w:val="14"/>
  </w:num>
  <w:num w:numId="31">
    <w:abstractNumId w:val="14"/>
    <w:lvlOverride w:ilvl="0">
      <w:startOverride w:val="1"/>
    </w:lvlOverride>
  </w:num>
  <w:num w:numId="32">
    <w:abstractNumId w:val="14"/>
  </w:num>
  <w:num w:numId="33">
    <w:abstractNumId w:val="14"/>
    <w:lvlOverride w:ilvl="0">
      <w:startOverride w:val="1"/>
    </w:lvlOverride>
  </w:num>
  <w:num w:numId="34">
    <w:abstractNumId w:val="14"/>
    <w:lvlOverride w:ilvl="0">
      <w:startOverride w:val="1"/>
    </w:lvlOverride>
  </w:num>
  <w:num w:numId="35">
    <w:abstractNumId w:val="15"/>
    <w:lvlOverride w:ilvl="0">
      <w:startOverride w:val="1"/>
    </w:lvlOverride>
  </w:num>
  <w:num w:numId="36">
    <w:abstractNumId w:val="15"/>
  </w:num>
  <w:num w:numId="37">
    <w:abstractNumId w:val="15"/>
    <w:lvlOverride w:ilvl="0">
      <w:startOverride w:val="1"/>
    </w:lvlOverride>
  </w:num>
  <w:num w:numId="38">
    <w:abstractNumId w:val="15"/>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num>
  <w:num w:numId="43">
    <w:abstractNumId w:val="15"/>
  </w:num>
  <w:num w:numId="44">
    <w:abstractNumId w:val="5"/>
  </w:num>
  <w:num w:numId="45">
    <w:abstractNumId w:val="13"/>
  </w:num>
  <w:num w:numId="46">
    <w:abstractNumId w:val="4"/>
  </w:num>
  <w:num w:numId="47">
    <w:abstractNumId w:val="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A"/>
    <w:rsid w:val="00014140"/>
    <w:rsid w:val="00024427"/>
    <w:rsid w:val="00027F74"/>
    <w:rsid w:val="00031EC9"/>
    <w:rsid w:val="00066FED"/>
    <w:rsid w:val="00075EA6"/>
    <w:rsid w:val="0007709F"/>
    <w:rsid w:val="00086F62"/>
    <w:rsid w:val="0009320B"/>
    <w:rsid w:val="00096AE0"/>
    <w:rsid w:val="000B1B74"/>
    <w:rsid w:val="000B3A2D"/>
    <w:rsid w:val="000B49C0"/>
    <w:rsid w:val="000E382F"/>
    <w:rsid w:val="000F649D"/>
    <w:rsid w:val="0010042C"/>
    <w:rsid w:val="001036BA"/>
    <w:rsid w:val="00103ECC"/>
    <w:rsid w:val="001146DC"/>
    <w:rsid w:val="00114AB1"/>
    <w:rsid w:val="001205C0"/>
    <w:rsid w:val="001230FF"/>
    <w:rsid w:val="00130BD7"/>
    <w:rsid w:val="0014019A"/>
    <w:rsid w:val="0014250D"/>
    <w:rsid w:val="00155B67"/>
    <w:rsid w:val="001562AF"/>
    <w:rsid w:val="00161A5B"/>
    <w:rsid w:val="0016385D"/>
    <w:rsid w:val="0016782F"/>
    <w:rsid w:val="001937E9"/>
    <w:rsid w:val="00194AA3"/>
    <w:rsid w:val="00197AA0"/>
    <w:rsid w:val="001A5F38"/>
    <w:rsid w:val="001B263B"/>
    <w:rsid w:val="001B476A"/>
    <w:rsid w:val="001C764F"/>
    <w:rsid w:val="001C7BB3"/>
    <w:rsid w:val="001D469C"/>
    <w:rsid w:val="001D75CD"/>
    <w:rsid w:val="001E4A06"/>
    <w:rsid w:val="00202AEC"/>
    <w:rsid w:val="00202B15"/>
    <w:rsid w:val="00216CD8"/>
    <w:rsid w:val="0023000D"/>
    <w:rsid w:val="0023171B"/>
    <w:rsid w:val="00236BFC"/>
    <w:rsid w:val="00237437"/>
    <w:rsid w:val="00244711"/>
    <w:rsid w:val="00244AE6"/>
    <w:rsid w:val="002502FD"/>
    <w:rsid w:val="0025698F"/>
    <w:rsid w:val="00274622"/>
    <w:rsid w:val="00285D24"/>
    <w:rsid w:val="00290390"/>
    <w:rsid w:val="002915D3"/>
    <w:rsid w:val="0029415A"/>
    <w:rsid w:val="002941DA"/>
    <w:rsid w:val="002B6015"/>
    <w:rsid w:val="002C658D"/>
    <w:rsid w:val="002E3C35"/>
    <w:rsid w:val="002E5234"/>
    <w:rsid w:val="002F5298"/>
    <w:rsid w:val="0030451E"/>
    <w:rsid w:val="00327346"/>
    <w:rsid w:val="00336721"/>
    <w:rsid w:val="00337E4F"/>
    <w:rsid w:val="00340C36"/>
    <w:rsid w:val="00342BEC"/>
    <w:rsid w:val="00345E56"/>
    <w:rsid w:val="00346A9D"/>
    <w:rsid w:val="00355E8B"/>
    <w:rsid w:val="00356B0D"/>
    <w:rsid w:val="0036202D"/>
    <w:rsid w:val="00391C68"/>
    <w:rsid w:val="0039376F"/>
    <w:rsid w:val="0039637D"/>
    <w:rsid w:val="003A287B"/>
    <w:rsid w:val="003A40C8"/>
    <w:rsid w:val="003A5C85"/>
    <w:rsid w:val="003A61B1"/>
    <w:rsid w:val="003E7C74"/>
    <w:rsid w:val="003F31C6"/>
    <w:rsid w:val="0040225B"/>
    <w:rsid w:val="00402DA2"/>
    <w:rsid w:val="00405526"/>
    <w:rsid w:val="004146AF"/>
    <w:rsid w:val="00425AC2"/>
    <w:rsid w:val="0044771F"/>
    <w:rsid w:val="00454168"/>
    <w:rsid w:val="0046141F"/>
    <w:rsid w:val="00462D4D"/>
    <w:rsid w:val="00463543"/>
    <w:rsid w:val="004A455E"/>
    <w:rsid w:val="004B151D"/>
    <w:rsid w:val="004C7243"/>
    <w:rsid w:val="004E21DE"/>
    <w:rsid w:val="004E3C57"/>
    <w:rsid w:val="004E3CB2"/>
    <w:rsid w:val="00510DA3"/>
    <w:rsid w:val="00514C41"/>
    <w:rsid w:val="00520FC4"/>
    <w:rsid w:val="00521AEC"/>
    <w:rsid w:val="0052577F"/>
    <w:rsid w:val="00525813"/>
    <w:rsid w:val="00526E65"/>
    <w:rsid w:val="00527D6E"/>
    <w:rsid w:val="0053513F"/>
    <w:rsid w:val="00537F79"/>
    <w:rsid w:val="00574405"/>
    <w:rsid w:val="00592B12"/>
    <w:rsid w:val="005A0E21"/>
    <w:rsid w:val="005A39D5"/>
    <w:rsid w:val="005A3F01"/>
    <w:rsid w:val="005B3A34"/>
    <w:rsid w:val="005D49AF"/>
    <w:rsid w:val="005E415C"/>
    <w:rsid w:val="005E51C1"/>
    <w:rsid w:val="005E7946"/>
    <w:rsid w:val="005F0806"/>
    <w:rsid w:val="005F7475"/>
    <w:rsid w:val="00611299"/>
    <w:rsid w:val="00616365"/>
    <w:rsid w:val="00616F3B"/>
    <w:rsid w:val="00620BBE"/>
    <w:rsid w:val="006249A7"/>
    <w:rsid w:val="00636EA9"/>
    <w:rsid w:val="0064225B"/>
    <w:rsid w:val="006516EF"/>
    <w:rsid w:val="00690774"/>
    <w:rsid w:val="006949BC"/>
    <w:rsid w:val="006A798B"/>
    <w:rsid w:val="006C3E52"/>
    <w:rsid w:val="006D1229"/>
    <w:rsid w:val="006D7080"/>
    <w:rsid w:val="006D7A18"/>
    <w:rsid w:val="00723B7F"/>
    <w:rsid w:val="00725861"/>
    <w:rsid w:val="0073393A"/>
    <w:rsid w:val="0073539D"/>
    <w:rsid w:val="007525DA"/>
    <w:rsid w:val="00767B8A"/>
    <w:rsid w:val="0077341A"/>
    <w:rsid w:val="00774C0B"/>
    <w:rsid w:val="00775481"/>
    <w:rsid w:val="0079316A"/>
    <w:rsid w:val="0079707C"/>
    <w:rsid w:val="007A233B"/>
    <w:rsid w:val="007A5A60"/>
    <w:rsid w:val="007B4863"/>
    <w:rsid w:val="007C335F"/>
    <w:rsid w:val="007C65E6"/>
    <w:rsid w:val="007D406B"/>
    <w:rsid w:val="007D4407"/>
    <w:rsid w:val="007E1CA3"/>
    <w:rsid w:val="008029C6"/>
    <w:rsid w:val="00805B4B"/>
    <w:rsid w:val="00810BF3"/>
    <w:rsid w:val="008133E8"/>
    <w:rsid w:val="00821713"/>
    <w:rsid w:val="00827050"/>
    <w:rsid w:val="00827E9B"/>
    <w:rsid w:val="0083278B"/>
    <w:rsid w:val="00834538"/>
    <w:rsid w:val="00850E89"/>
    <w:rsid w:val="00855F0D"/>
    <w:rsid w:val="00856F0E"/>
    <w:rsid w:val="00865231"/>
    <w:rsid w:val="00887077"/>
    <w:rsid w:val="008930E4"/>
    <w:rsid w:val="00893821"/>
    <w:rsid w:val="008A2908"/>
    <w:rsid w:val="008A5078"/>
    <w:rsid w:val="008A7B9C"/>
    <w:rsid w:val="008B4754"/>
    <w:rsid w:val="008C1780"/>
    <w:rsid w:val="008E6A7A"/>
    <w:rsid w:val="008F1038"/>
    <w:rsid w:val="008F7046"/>
    <w:rsid w:val="009005FC"/>
    <w:rsid w:val="00943315"/>
    <w:rsid w:val="0096251F"/>
    <w:rsid w:val="009B696B"/>
    <w:rsid w:val="009B7671"/>
    <w:rsid w:val="009F0434"/>
    <w:rsid w:val="009F056E"/>
    <w:rsid w:val="00A045CB"/>
    <w:rsid w:val="00A21A79"/>
    <w:rsid w:val="00A26DCD"/>
    <w:rsid w:val="00A314BB"/>
    <w:rsid w:val="00A32B7D"/>
    <w:rsid w:val="00A34230"/>
    <w:rsid w:val="00A5596B"/>
    <w:rsid w:val="00A5784F"/>
    <w:rsid w:val="00A646B3"/>
    <w:rsid w:val="00A6739B"/>
    <w:rsid w:val="00A700D2"/>
    <w:rsid w:val="00A90413"/>
    <w:rsid w:val="00AB0A9C"/>
    <w:rsid w:val="00AB528A"/>
    <w:rsid w:val="00AB7119"/>
    <w:rsid w:val="00AD5855"/>
    <w:rsid w:val="00AE7500"/>
    <w:rsid w:val="00AE7F87"/>
    <w:rsid w:val="00AF3542"/>
    <w:rsid w:val="00AF5ABE"/>
    <w:rsid w:val="00B00415"/>
    <w:rsid w:val="00B1000D"/>
    <w:rsid w:val="00B10134"/>
    <w:rsid w:val="00B1631C"/>
    <w:rsid w:val="00B16BFE"/>
    <w:rsid w:val="00B500E5"/>
    <w:rsid w:val="00B9429D"/>
    <w:rsid w:val="00BA39BB"/>
    <w:rsid w:val="00BA3B3D"/>
    <w:rsid w:val="00BB18B6"/>
    <w:rsid w:val="00BC431A"/>
    <w:rsid w:val="00BD1909"/>
    <w:rsid w:val="00BD5489"/>
    <w:rsid w:val="00BE5E16"/>
    <w:rsid w:val="00BE5FD1"/>
    <w:rsid w:val="00C02A3A"/>
    <w:rsid w:val="00C06E05"/>
    <w:rsid w:val="00C17370"/>
    <w:rsid w:val="00C26EC0"/>
    <w:rsid w:val="00C35356"/>
    <w:rsid w:val="00C35746"/>
    <w:rsid w:val="00C42EB1"/>
    <w:rsid w:val="00C56356"/>
    <w:rsid w:val="00C56C77"/>
    <w:rsid w:val="00C6482A"/>
    <w:rsid w:val="00C6537B"/>
    <w:rsid w:val="00C73998"/>
    <w:rsid w:val="00C80246"/>
    <w:rsid w:val="00C95201"/>
    <w:rsid w:val="00CB7B3E"/>
    <w:rsid w:val="00CC739D"/>
    <w:rsid w:val="00D04468"/>
    <w:rsid w:val="00D208E1"/>
    <w:rsid w:val="00D30DA7"/>
    <w:rsid w:val="00D36257"/>
    <w:rsid w:val="00D4687E"/>
    <w:rsid w:val="00D53A12"/>
    <w:rsid w:val="00D733A6"/>
    <w:rsid w:val="00D86AFD"/>
    <w:rsid w:val="00DA7DE6"/>
    <w:rsid w:val="00DB0C43"/>
    <w:rsid w:val="00DB2E9E"/>
    <w:rsid w:val="00DE3354"/>
    <w:rsid w:val="00DE5333"/>
    <w:rsid w:val="00DF7DCD"/>
    <w:rsid w:val="00E20DCE"/>
    <w:rsid w:val="00E27B65"/>
    <w:rsid w:val="00E73C29"/>
    <w:rsid w:val="00E76FA0"/>
    <w:rsid w:val="00E7737E"/>
    <w:rsid w:val="00E83546"/>
    <w:rsid w:val="00E853AC"/>
    <w:rsid w:val="00EB7D28"/>
    <w:rsid w:val="00EC0D0C"/>
    <w:rsid w:val="00EC0D8E"/>
    <w:rsid w:val="00ED4A2C"/>
    <w:rsid w:val="00EF6940"/>
    <w:rsid w:val="00F2044A"/>
    <w:rsid w:val="00F20BFC"/>
    <w:rsid w:val="00F24D5F"/>
    <w:rsid w:val="00F26898"/>
    <w:rsid w:val="00F340F4"/>
    <w:rsid w:val="00F5440D"/>
    <w:rsid w:val="00F726C3"/>
    <w:rsid w:val="00F73BA4"/>
    <w:rsid w:val="00F8554C"/>
    <w:rsid w:val="00F97A90"/>
    <w:rsid w:val="00FA4B07"/>
    <w:rsid w:val="00FB77F5"/>
    <w:rsid w:val="00FC1876"/>
    <w:rsid w:val="00FC2F35"/>
    <w:rsid w:val="00FC3FD7"/>
    <w:rsid w:val="00FD1FC6"/>
    <w:rsid w:val="00FD4B95"/>
    <w:rsid w:val="00FE2DF4"/>
    <w:rsid w:val="00FE5869"/>
    <w:rsid w:val="00FF6C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7A7704-F47A-4060-9A9B-A76935FB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92B1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uiPriority w:val="22"/>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paragraph" w:styleId="ac">
    <w:name w:val="List Paragraph"/>
    <w:basedOn w:val="a"/>
    <w:uiPriority w:val="34"/>
    <w:qFormat/>
    <w:rsid w:val="00AB528A"/>
    <w:pPr>
      <w:ind w:left="720"/>
      <w:contextualSpacing/>
    </w:pPr>
    <w:rPr>
      <w:sz w:val="20"/>
      <w:lang w:val="ru-RU" w:eastAsia="ru-RU"/>
    </w:rPr>
  </w:style>
  <w:style w:type="character" w:customStyle="1" w:styleId="ad">
    <w:name w:val="Мой Знак"/>
    <w:basedOn w:val="a0"/>
    <w:link w:val="ae"/>
    <w:locked/>
    <w:rsid w:val="00AB528A"/>
    <w:rPr>
      <w:b/>
      <w:sz w:val="36"/>
      <w:szCs w:val="36"/>
      <w:lang w:eastAsia="ru-RU"/>
    </w:rPr>
  </w:style>
  <w:style w:type="paragraph" w:customStyle="1" w:styleId="ae">
    <w:name w:val="Мой"/>
    <w:basedOn w:val="a"/>
    <w:next w:val="a"/>
    <w:link w:val="ad"/>
    <w:qFormat/>
    <w:rsid w:val="00AB528A"/>
    <w:pPr>
      <w:jc w:val="center"/>
    </w:pPr>
    <w:rPr>
      <w:b/>
      <w:sz w:val="36"/>
      <w:szCs w:val="36"/>
      <w:lang w:val="en-GB" w:eastAsia="ru-RU"/>
    </w:rPr>
  </w:style>
  <w:style w:type="character" w:customStyle="1" w:styleId="citationvolume">
    <w:name w:val="citationvolume"/>
    <w:basedOn w:val="a0"/>
    <w:rsid w:val="00AB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Igor\_Conferences\_OS2016%20August\8_point5_x11_single_column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5;&#1074;&#1075;&#1077;&#1085;&#1080;&#1081;\Desktop\Documents\&#1059;&#1095;&#1077;&#1073;&#1072;\&#1085;&#1072;&#1091;&#1095;.&#1076;&#1077;&#1103;&#1090;&#1077;&#1083;&#1100;&#1085;&#1086;&#1089;&#1090;&#1100;\&#1056;&#1072;&#1073;&#1086;&#1090;&#1072;\2\&#1084;&#1072;&#1075;&#1085;&#1080;&#1090;&#1085;&#1086;&#1077;%20&#1087;&#1086;&#1083;&#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5;&#1074;&#1075;&#1077;&#1085;&#1080;&#1081;\Desktop\&#1056;&#1072;&#1073;&#1086;&#1090;&#1072;\&#1044;&#1072;&#1085;&#1085;&#1099;&#1077;\&#1084;&#1072;&#1075;&#1085;&#1080;&#1090;&#1085;&#1086;&#1077;%20&#1087;&#1086;&#1083;&#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5;&#1074;&#1075;&#1077;&#1085;&#1080;&#1081;\Desktop\Documents\&#1059;&#1095;&#1077;&#1073;&#1072;\&#1085;&#1072;&#1091;&#1095;.&#1076;&#1077;&#1103;&#1090;&#1077;&#1083;&#1100;&#1085;&#1086;&#1089;&#1090;&#1100;\&#1056;&#1072;&#1073;&#1086;&#1090;&#1072;\2\&#1084;&#1072;&#1075;&#1085;&#1080;&#1090;&#1085;&#1086;&#1077;%20&#1087;&#1086;&#1083;&#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en-US" sz="1100" b="0" i="0" baseline="0">
                <a:solidFill>
                  <a:schemeClr val="tx1"/>
                </a:solidFill>
                <a:effectLst/>
                <a:latin typeface="Times New Roman" panose="02020603050405020304" pitchFamily="18" charset="0"/>
                <a:cs typeface="Times New Roman" panose="02020603050405020304" pitchFamily="18" charset="0"/>
              </a:rPr>
              <a:t>Plasma density</a:t>
            </a:r>
            <a:r>
              <a:rPr lang="ru-RU" sz="1100" b="0" i="0" baseline="0">
                <a:solidFill>
                  <a:schemeClr val="tx1"/>
                </a:solidFill>
                <a:effectLst/>
                <a:latin typeface="Times New Roman" panose="02020603050405020304" pitchFamily="18" charset="0"/>
                <a:cs typeface="Times New Roman" panose="02020603050405020304" pitchFamily="18" charset="0"/>
              </a:rPr>
              <a:t> 10</a:t>
            </a:r>
            <a:r>
              <a:rPr lang="ru-RU" sz="1100" b="0" i="0" baseline="30000">
                <a:solidFill>
                  <a:schemeClr val="tx1"/>
                </a:solidFill>
                <a:effectLst/>
                <a:latin typeface="Times New Roman" panose="02020603050405020304" pitchFamily="18" charset="0"/>
                <a:cs typeface="Times New Roman" panose="02020603050405020304" pitchFamily="18" charset="0"/>
              </a:rPr>
              <a:t>12</a:t>
            </a:r>
            <a:r>
              <a:rPr lang="ru-RU" sz="1100" b="0" i="0" baseline="0">
                <a:solidFill>
                  <a:schemeClr val="tx1"/>
                </a:solidFill>
                <a:effectLst/>
                <a:latin typeface="Times New Roman" panose="02020603050405020304" pitchFamily="18" charset="0"/>
                <a:cs typeface="Times New Roman" panose="02020603050405020304" pitchFamily="18" charset="0"/>
              </a:rPr>
              <a:t>, </a:t>
            </a:r>
            <a:r>
              <a:rPr lang="en-US" sz="1100" b="0" i="0" baseline="0">
                <a:solidFill>
                  <a:schemeClr val="tx1"/>
                </a:solidFill>
                <a:effectLst/>
                <a:latin typeface="Times New Roman" panose="02020603050405020304" pitchFamily="18" charset="0"/>
                <a:cs typeface="Times New Roman" panose="02020603050405020304" pitchFamily="18" charset="0"/>
              </a:rPr>
              <a:t>cm</a:t>
            </a:r>
            <a:r>
              <a:rPr lang="ru-RU" sz="1100" b="0" i="0" baseline="30000">
                <a:solidFill>
                  <a:schemeClr val="tx1"/>
                </a:solidFill>
                <a:effectLst/>
                <a:latin typeface="Times New Roman" panose="02020603050405020304" pitchFamily="18" charset="0"/>
                <a:cs typeface="Times New Roman" panose="02020603050405020304" pitchFamily="18" charset="0"/>
              </a:rPr>
              <a:t>-3</a:t>
            </a:r>
            <a:endParaRPr lang="ru-RU" sz="1100" b="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9.6389509584852456E-2"/>
          <c:y val="1.6063917120492099E-2"/>
        </c:manualLayout>
      </c:layout>
      <c:overlay val="0"/>
      <c:spPr>
        <a:noFill/>
        <a:ln>
          <a:noFill/>
        </a:ln>
        <a:effectLst/>
      </c:spPr>
    </c:title>
    <c:autoTitleDeleted val="0"/>
    <c:plotArea>
      <c:layout>
        <c:manualLayout>
          <c:layoutTarget val="inner"/>
          <c:xMode val="edge"/>
          <c:yMode val="edge"/>
          <c:x val="9.8804405300213755E-2"/>
          <c:y val="8.7234107337510899E-2"/>
          <c:w val="0.86353829727534792"/>
          <c:h val="0.72505452008372384"/>
        </c:manualLayout>
      </c:layout>
      <c:scatterChart>
        <c:scatterStyle val="smoothMarker"/>
        <c:varyColors val="0"/>
        <c:ser>
          <c:idx val="4"/>
          <c:order val="0"/>
          <c:tx>
            <c:v>Icc=7.2 А</c:v>
          </c:tx>
          <c:spPr>
            <a:ln w="12700" cap="rnd">
              <a:solidFill>
                <a:schemeClr val="tx1"/>
              </a:solidFill>
              <a:round/>
            </a:ln>
            <a:effectLst/>
          </c:spPr>
          <c:marker>
            <c:symbol val="circle"/>
            <c:size val="3"/>
            <c:spPr>
              <a:solidFill>
                <a:schemeClr val="bg1"/>
              </a:solidFill>
              <a:ln w="12700">
                <a:solidFill>
                  <a:schemeClr val="tx1"/>
                </a:solidFill>
              </a:ln>
              <a:effectLst/>
            </c:spPr>
          </c:marker>
          <c:errBars>
            <c:errDir val="x"/>
            <c:errBarType val="both"/>
            <c:errValType val="percentage"/>
            <c:noEndCap val="0"/>
            <c:val val="0"/>
            <c:spPr>
              <a:noFill/>
              <a:ln w="9525" cap="flat" cmpd="sng" algn="ctr">
                <a:solidFill>
                  <a:schemeClr val="tx1">
                    <a:lumMod val="65000"/>
                    <a:lumOff val="35000"/>
                  </a:schemeClr>
                </a:solidFill>
                <a:round/>
              </a:ln>
              <a:effectLst/>
            </c:spPr>
          </c:errBars>
          <c:errBars>
            <c:errDir val="y"/>
            <c:errBarType val="both"/>
            <c:errValType val="percentage"/>
            <c:noEndCap val="0"/>
            <c:val val="10"/>
            <c:spPr>
              <a:noFill/>
              <a:ln w="6350" cap="flat" cmpd="sng" algn="ctr">
                <a:solidFill>
                  <a:schemeClr val="tx1">
                    <a:lumMod val="65000"/>
                    <a:lumOff val="35000"/>
                  </a:schemeClr>
                </a:solidFill>
                <a:round/>
              </a:ln>
              <a:effectLst/>
            </c:spPr>
          </c:errBars>
          <c:xVal>
            <c:numRef>
              <c:f>'По полю пробки'!$B$132:$B$154</c:f>
              <c:numCache>
                <c:formatCode>General</c:formatCode>
                <c:ptCount val="23"/>
                <c:pt idx="0">
                  <c:v>8.4</c:v>
                </c:pt>
                <c:pt idx="1">
                  <c:v>5</c:v>
                </c:pt>
                <c:pt idx="2">
                  <c:v>3</c:v>
                </c:pt>
                <c:pt idx="3">
                  <c:v>1</c:v>
                </c:pt>
                <c:pt idx="4">
                  <c:v>0</c:v>
                </c:pt>
                <c:pt idx="5">
                  <c:v>-1</c:v>
                </c:pt>
                <c:pt idx="6">
                  <c:v>-1.5</c:v>
                </c:pt>
                <c:pt idx="7">
                  <c:v>-2</c:v>
                </c:pt>
                <c:pt idx="8">
                  <c:v>-2.5</c:v>
                </c:pt>
                <c:pt idx="9">
                  <c:v>-3</c:v>
                </c:pt>
                <c:pt idx="10">
                  <c:v>-4</c:v>
                </c:pt>
                <c:pt idx="11">
                  <c:v>-5</c:v>
                </c:pt>
                <c:pt idx="12">
                  <c:v>-6</c:v>
                </c:pt>
                <c:pt idx="13">
                  <c:v>-6.5</c:v>
                </c:pt>
                <c:pt idx="14">
                  <c:v>-7</c:v>
                </c:pt>
                <c:pt idx="15">
                  <c:v>-7.5</c:v>
                </c:pt>
                <c:pt idx="16">
                  <c:v>-8</c:v>
                </c:pt>
                <c:pt idx="17">
                  <c:v>-8.4</c:v>
                </c:pt>
                <c:pt idx="18">
                  <c:v>-8.6</c:v>
                </c:pt>
                <c:pt idx="19">
                  <c:v>-9.8000000000000007</c:v>
                </c:pt>
                <c:pt idx="20">
                  <c:v>-11.2</c:v>
                </c:pt>
                <c:pt idx="21">
                  <c:v>-12.5</c:v>
                </c:pt>
                <c:pt idx="22">
                  <c:v>-13.6</c:v>
                </c:pt>
              </c:numCache>
            </c:numRef>
          </c:xVal>
          <c:yVal>
            <c:numRef>
              <c:f>'По полю пробки'!$J$132:$J$154</c:f>
              <c:numCache>
                <c:formatCode>General</c:formatCode>
                <c:ptCount val="23"/>
                <c:pt idx="0">
                  <c:v>0.46084000919151891</c:v>
                </c:pt>
                <c:pt idx="1">
                  <c:v>0.49302480348656152</c:v>
                </c:pt>
                <c:pt idx="2">
                  <c:v>0.55858300077338552</c:v>
                </c:pt>
                <c:pt idx="3">
                  <c:v>0.69311230331327078</c:v>
                </c:pt>
                <c:pt idx="4">
                  <c:v>0.71159529806829136</c:v>
                </c:pt>
                <c:pt idx="5">
                  <c:v>0.77667313715006614</c:v>
                </c:pt>
                <c:pt idx="6">
                  <c:v>0.8023607083072728</c:v>
                </c:pt>
                <c:pt idx="7">
                  <c:v>0.85689007683301055</c:v>
                </c:pt>
                <c:pt idx="8">
                  <c:v>0.77141552202307906</c:v>
                </c:pt>
                <c:pt idx="9">
                  <c:v>0.56823937635311306</c:v>
                </c:pt>
                <c:pt idx="10">
                  <c:v>0.6299579838504753</c:v>
                </c:pt>
                <c:pt idx="11">
                  <c:v>0.82000780576352861</c:v>
                </c:pt>
                <c:pt idx="12">
                  <c:v>1.0316673348338701</c:v>
                </c:pt>
                <c:pt idx="13">
                  <c:v>1.1108383517132341</c:v>
                </c:pt>
                <c:pt idx="14">
                  <c:v>1.135357265253055</c:v>
                </c:pt>
                <c:pt idx="15">
                  <c:v>1.276116146867404</c:v>
                </c:pt>
                <c:pt idx="16">
                  <c:v>1.4517302301294568</c:v>
                </c:pt>
                <c:pt idx="17">
                  <c:v>1.5881197975191264</c:v>
                </c:pt>
                <c:pt idx="18">
                  <c:v>1.5406363138768093</c:v>
                </c:pt>
                <c:pt idx="19">
                  <c:v>1.7684568308956443</c:v>
                </c:pt>
                <c:pt idx="20">
                  <c:v>1.2564086740799396</c:v>
                </c:pt>
                <c:pt idx="21">
                  <c:v>1.1044652667145007</c:v>
                </c:pt>
                <c:pt idx="22">
                  <c:v>0.9663965829053599</c:v>
                </c:pt>
              </c:numCache>
            </c:numRef>
          </c:yVal>
          <c:smooth val="1"/>
          <c:extLst xmlns:c16r2="http://schemas.microsoft.com/office/drawing/2015/06/chart">
            <c:ext xmlns:c16="http://schemas.microsoft.com/office/drawing/2014/chart" uri="{C3380CC4-5D6E-409C-BE32-E72D297353CC}">
              <c16:uniqueId val="{00000000-E994-4651-8495-393EF25D40A4}"/>
            </c:ext>
          </c:extLst>
        </c:ser>
        <c:ser>
          <c:idx val="5"/>
          <c:order val="5"/>
          <c:tx>
            <c:v>Icc=7.9 А</c:v>
          </c:tx>
          <c:spPr>
            <a:ln w="12700" cap="rnd">
              <a:solidFill>
                <a:schemeClr val="tx1"/>
              </a:solidFill>
              <a:round/>
            </a:ln>
            <a:effectLst/>
          </c:spPr>
          <c:marker>
            <c:symbol val="triangle"/>
            <c:size val="4"/>
            <c:spPr>
              <a:solidFill>
                <a:schemeClr val="bg1"/>
              </a:solidFill>
              <a:ln w="12700">
                <a:solidFill>
                  <a:schemeClr val="tx1"/>
                </a:solidFill>
              </a:ln>
              <a:effectLst/>
            </c:spPr>
          </c:marker>
          <c:errBars>
            <c:errDir val="x"/>
            <c:errBarType val="both"/>
            <c:errValType val="percentage"/>
            <c:noEndCap val="0"/>
            <c:val val="0"/>
            <c:spPr>
              <a:noFill/>
              <a:ln w="9525" cap="flat" cmpd="sng" algn="ctr">
                <a:solidFill>
                  <a:schemeClr val="tx1">
                    <a:lumMod val="65000"/>
                    <a:lumOff val="35000"/>
                  </a:schemeClr>
                </a:solidFill>
                <a:round/>
              </a:ln>
              <a:effectLst/>
            </c:spPr>
          </c:errBars>
          <c:errBars>
            <c:errDir val="y"/>
            <c:errBarType val="both"/>
            <c:errValType val="percentage"/>
            <c:noEndCap val="0"/>
            <c:val val="10"/>
            <c:spPr>
              <a:noFill/>
              <a:ln w="6350" cap="flat" cmpd="sng" algn="ctr">
                <a:solidFill>
                  <a:schemeClr val="tx1">
                    <a:lumMod val="65000"/>
                    <a:lumOff val="35000"/>
                  </a:schemeClr>
                </a:solidFill>
                <a:round/>
              </a:ln>
              <a:effectLst/>
            </c:spPr>
          </c:errBars>
          <c:xVal>
            <c:numRef>
              <c:f>('По полю пробки'!$B$158:$B$164,'По полю пробки'!$B$168:$B$170)</c:f>
              <c:numCache>
                <c:formatCode>General</c:formatCode>
                <c:ptCount val="10"/>
                <c:pt idx="0">
                  <c:v>-25</c:v>
                </c:pt>
                <c:pt idx="1">
                  <c:v>-20</c:v>
                </c:pt>
                <c:pt idx="2">
                  <c:v>-17.5</c:v>
                </c:pt>
                <c:pt idx="3">
                  <c:v>-16.2</c:v>
                </c:pt>
                <c:pt idx="4">
                  <c:v>-15</c:v>
                </c:pt>
                <c:pt idx="5">
                  <c:v>-12.5</c:v>
                </c:pt>
                <c:pt idx="6">
                  <c:v>-9.8000000000000007</c:v>
                </c:pt>
                <c:pt idx="7">
                  <c:v>-3.7</c:v>
                </c:pt>
                <c:pt idx="8">
                  <c:v>-2.4</c:v>
                </c:pt>
                <c:pt idx="9">
                  <c:v>-1.1000000000000001</c:v>
                </c:pt>
              </c:numCache>
            </c:numRef>
          </c:xVal>
          <c:yVal>
            <c:numRef>
              <c:f>('По полю пробки'!$J$158:$J$164,'По полю пробки'!$J$168:$J$170)</c:f>
              <c:numCache>
                <c:formatCode>General</c:formatCode>
                <c:ptCount val="10"/>
                <c:pt idx="0">
                  <c:v>1.6382906860995092</c:v>
                </c:pt>
                <c:pt idx="1">
                  <c:v>1.5766641850924392</c:v>
                </c:pt>
                <c:pt idx="2">
                  <c:v>2.1302804105318933</c:v>
                </c:pt>
                <c:pt idx="3">
                  <c:v>2.7447247211205541</c:v>
                </c:pt>
                <c:pt idx="4">
                  <c:v>2.2251694345232962</c:v>
                </c:pt>
                <c:pt idx="5">
                  <c:v>1.601436992441241</c:v>
                </c:pt>
                <c:pt idx="6">
                  <c:v>1.2270588755221026</c:v>
                </c:pt>
                <c:pt idx="7">
                  <c:v>0.744368870096207</c:v>
                </c:pt>
                <c:pt idx="8">
                  <c:v>1.1551871721887845</c:v>
                </c:pt>
                <c:pt idx="9">
                  <c:v>1.377770582176548</c:v>
                </c:pt>
              </c:numCache>
            </c:numRef>
          </c:yVal>
          <c:smooth val="1"/>
          <c:extLst xmlns:c16r2="http://schemas.microsoft.com/office/drawing/2015/06/chart">
            <c:ext xmlns:c16="http://schemas.microsoft.com/office/drawing/2014/chart" uri="{C3380CC4-5D6E-409C-BE32-E72D297353CC}">
              <c16:uniqueId val="{00000001-E994-4651-8495-393EF25D40A4}"/>
            </c:ext>
          </c:extLst>
        </c:ser>
        <c:dLbls>
          <c:showLegendKey val="0"/>
          <c:showVal val="0"/>
          <c:showCatName val="0"/>
          <c:showSerName val="0"/>
          <c:showPercent val="0"/>
          <c:showBubbleSize val="0"/>
        </c:dLbls>
        <c:axId val="640134000"/>
        <c:axId val="571736816"/>
        <c:extLst xmlns:c16r2="http://schemas.microsoft.com/office/drawing/2015/06/chart">
          <c:ext xmlns:c15="http://schemas.microsoft.com/office/drawing/2012/chart" uri="{02D57815-91ED-43cb-92C2-25804820EDAC}">
            <c15:filteredScatterSeries>
              <c15:ser>
                <c:idx val="0"/>
                <c:order val="1"/>
                <c:tx>
                  <c:v>Поле 0.6 В</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xmlns:c16r2="http://schemas.microsoft.com/office/drawing/2015/06/chart">
                      <c:ext uri="{02D57815-91ED-43cb-92C2-25804820EDAC}">
                        <c15:formulaRef>
                          <c15:sqref>'По полю пробки'!$B$52:$B$105</c15:sqref>
                        </c15:formulaRef>
                      </c:ext>
                    </c:extLst>
                    <c:numCache>
                      <c:formatCode>General</c:formatCode>
                      <c:ptCount val="54"/>
                      <c:pt idx="0">
                        <c:v>8.4</c:v>
                      </c:pt>
                      <c:pt idx="1">
                        <c:v>8</c:v>
                      </c:pt>
                      <c:pt idx="2">
                        <c:v>7.5</c:v>
                      </c:pt>
                      <c:pt idx="3">
                        <c:v>7</c:v>
                      </c:pt>
                      <c:pt idx="4">
                        <c:v>6.5</c:v>
                      </c:pt>
                      <c:pt idx="5">
                        <c:v>6</c:v>
                      </c:pt>
                      <c:pt idx="6">
                        <c:v>5.5</c:v>
                      </c:pt>
                      <c:pt idx="7">
                        <c:v>5</c:v>
                      </c:pt>
                      <c:pt idx="8">
                        <c:v>4.5</c:v>
                      </c:pt>
                      <c:pt idx="9">
                        <c:v>4</c:v>
                      </c:pt>
                      <c:pt idx="10">
                        <c:v>3.5</c:v>
                      </c:pt>
                      <c:pt idx="11">
                        <c:v>3</c:v>
                      </c:pt>
                      <c:pt idx="12">
                        <c:v>2.5</c:v>
                      </c:pt>
                      <c:pt idx="13">
                        <c:v>2</c:v>
                      </c:pt>
                      <c:pt idx="14">
                        <c:v>1.5</c:v>
                      </c:pt>
                      <c:pt idx="15">
                        <c:v>1.3</c:v>
                      </c:pt>
                      <c:pt idx="16">
                        <c:v>1.1000000000000001</c:v>
                      </c:pt>
                      <c:pt idx="17">
                        <c:v>1</c:v>
                      </c:pt>
                      <c:pt idx="18">
                        <c:v>0.9</c:v>
                      </c:pt>
                      <c:pt idx="19">
                        <c:v>0.8</c:v>
                      </c:pt>
                      <c:pt idx="20">
                        <c:v>0.5</c:v>
                      </c:pt>
                      <c:pt idx="21">
                        <c:v>0.2</c:v>
                      </c:pt>
                      <c:pt idx="22">
                        <c:v>0.1</c:v>
                      </c:pt>
                      <c:pt idx="23">
                        <c:v>0</c:v>
                      </c:pt>
                      <c:pt idx="24">
                        <c:v>0</c:v>
                      </c:pt>
                      <c:pt idx="25">
                        <c:v>-0.1</c:v>
                      </c:pt>
                      <c:pt idx="26">
                        <c:v>-0.2</c:v>
                      </c:pt>
                      <c:pt idx="27">
                        <c:v>-0.3</c:v>
                      </c:pt>
                      <c:pt idx="28">
                        <c:v>-0.5</c:v>
                      </c:pt>
                      <c:pt idx="29">
                        <c:v>-1</c:v>
                      </c:pt>
                      <c:pt idx="30">
                        <c:v>-1.5</c:v>
                      </c:pt>
                      <c:pt idx="31">
                        <c:v>-2</c:v>
                      </c:pt>
                      <c:pt idx="32">
                        <c:v>-2.5</c:v>
                      </c:pt>
                      <c:pt idx="33">
                        <c:v>-3</c:v>
                      </c:pt>
                      <c:pt idx="34">
                        <c:v>-3.5</c:v>
                      </c:pt>
                      <c:pt idx="35">
                        <c:v>-3.8</c:v>
                      </c:pt>
                      <c:pt idx="36">
                        <c:v>-4</c:v>
                      </c:pt>
                      <c:pt idx="37">
                        <c:v>-4.3</c:v>
                      </c:pt>
                      <c:pt idx="38">
                        <c:v>-4.7</c:v>
                      </c:pt>
                      <c:pt idx="39">
                        <c:v>-5</c:v>
                      </c:pt>
                      <c:pt idx="40">
                        <c:v>-5.0999999999999996</c:v>
                      </c:pt>
                      <c:pt idx="41">
                        <c:v>-5.4</c:v>
                      </c:pt>
                      <c:pt idx="42">
                        <c:v>-5.7</c:v>
                      </c:pt>
                      <c:pt idx="43">
                        <c:v>-6</c:v>
                      </c:pt>
                      <c:pt idx="44">
                        <c:v>-6.3</c:v>
                      </c:pt>
                      <c:pt idx="45">
                        <c:v>-6.5</c:v>
                      </c:pt>
                      <c:pt idx="46">
                        <c:v>-6.7</c:v>
                      </c:pt>
                      <c:pt idx="47">
                        <c:v>-7</c:v>
                      </c:pt>
                      <c:pt idx="48">
                        <c:v>-7</c:v>
                      </c:pt>
                      <c:pt idx="49">
                        <c:v>-7.4</c:v>
                      </c:pt>
                      <c:pt idx="50">
                        <c:v>-7.7</c:v>
                      </c:pt>
                      <c:pt idx="51">
                        <c:v>-8</c:v>
                      </c:pt>
                      <c:pt idx="52">
                        <c:v>-8.1999999999999993</c:v>
                      </c:pt>
                      <c:pt idx="53">
                        <c:v>-8.4</c:v>
                      </c:pt>
                    </c:numCache>
                  </c:numRef>
                </c:xVal>
                <c:yVal>
                  <c:numRef>
                    <c:extLst xmlns:c16r2="http://schemas.microsoft.com/office/drawing/2015/06/chart">
                      <c:ext uri="{02D57815-91ED-43cb-92C2-25804820EDAC}">
                        <c15:formulaRef>
                          <c15:sqref>'По полю пробки'!$J$52:$J$105</c15:sqref>
                        </c15:formulaRef>
                      </c:ext>
                    </c:extLst>
                    <c:numCache>
                      <c:formatCode>General</c:formatCode>
                      <c:ptCount val="54"/>
                      <c:pt idx="0">
                        <c:v>0.49148911086342051</c:v>
                      </c:pt>
                      <c:pt idx="1">
                        <c:v>0.50456834709750553</c:v>
                      </c:pt>
                      <c:pt idx="2">
                        <c:v>0.49954347594371801</c:v>
                      </c:pt>
                      <c:pt idx="3">
                        <c:v>0.51882402352620627</c:v>
                      </c:pt>
                      <c:pt idx="4">
                        <c:v>0.5225036265299382</c:v>
                      </c:pt>
                      <c:pt idx="5">
                        <c:v>0.54964722568360325</c:v>
                      </c:pt>
                      <c:pt idx="6">
                        <c:v>0.58307171913733591</c:v>
                      </c:pt>
                      <c:pt idx="7">
                        <c:v>0.63059131594827944</c:v>
                      </c:pt>
                      <c:pt idx="8">
                        <c:v>0.68183002034672158</c:v>
                      </c:pt>
                      <c:pt idx="9">
                        <c:v>0.7056281951343556</c:v>
                      </c:pt>
                      <c:pt idx="10">
                        <c:v>0.7175225857277322</c:v>
                      </c:pt>
                      <c:pt idx="11">
                        <c:v>0.75063901276131983</c:v>
                      </c:pt>
                      <c:pt idx="12">
                        <c:v>0.78384762075740666</c:v>
                      </c:pt>
                      <c:pt idx="13">
                        <c:v>0.7985973838953323</c:v>
                      </c:pt>
                      <c:pt idx="14">
                        <c:v>0.8168131749014097</c:v>
                      </c:pt>
                      <c:pt idx="15">
                        <c:v>0.81312551193758487</c:v>
                      </c:pt>
                      <c:pt idx="16">
                        <c:v>0.82406442016992898</c:v>
                      </c:pt>
                      <c:pt idx="17">
                        <c:v>0.82780169294941064</c:v>
                      </c:pt>
                      <c:pt idx="18">
                        <c:v>0.82406442016992898</c:v>
                      </c:pt>
                      <c:pt idx="19">
                        <c:v>0.82041811742581439</c:v>
                      </c:pt>
                      <c:pt idx="20">
                        <c:v>0.82055146983222704</c:v>
                      </c:pt>
                      <c:pt idx="21">
                        <c:v>0.88805167571414501</c:v>
                      </c:pt>
                      <c:pt idx="22">
                        <c:v>0.89874749064481063</c:v>
                      </c:pt>
                      <c:pt idx="23">
                        <c:v>0.92103048628063244</c:v>
                      </c:pt>
                      <c:pt idx="24">
                        <c:v>0.85446988965772774</c:v>
                      </c:pt>
                      <c:pt idx="25">
                        <c:v>0.85418149937316723</c:v>
                      </c:pt>
                      <c:pt idx="26">
                        <c:v>0.86500415453496171</c:v>
                      </c:pt>
                      <c:pt idx="27">
                        <c:v>0.87979055033897813</c:v>
                      </c:pt>
                      <c:pt idx="28">
                        <c:v>0.93339123512853772</c:v>
                      </c:pt>
                      <c:pt idx="29">
                        <c:v>0.94211115918504007</c:v>
                      </c:pt>
                      <c:pt idx="30">
                        <c:v>0.96671571438209547</c:v>
                      </c:pt>
                      <c:pt idx="31">
                        <c:v>1.0074414591063863</c:v>
                      </c:pt>
                      <c:pt idx="32">
                        <c:v>1.0074414591063863</c:v>
                      </c:pt>
                      <c:pt idx="33">
                        <c:v>0.9798095259467583</c:v>
                      </c:pt>
                      <c:pt idx="34">
                        <c:v>0.88422841544782205</c:v>
                      </c:pt>
                      <c:pt idx="35">
                        <c:v>0.86227818748464202</c:v>
                      </c:pt>
                      <c:pt idx="36">
                        <c:v>0.68072655569041263</c:v>
                      </c:pt>
                      <c:pt idx="37">
                        <c:v>0.73348193967913267</c:v>
                      </c:pt>
                      <c:pt idx="38">
                        <c:v>0.78191563829304156</c:v>
                      </c:pt>
                      <c:pt idx="39">
                        <c:v>0.76551539955698933</c:v>
                      </c:pt>
                      <c:pt idx="40">
                        <c:v>0.77386341166122985</c:v>
                      </c:pt>
                      <c:pt idx="41">
                        <c:v>0.80644145184227256</c:v>
                      </c:pt>
                      <c:pt idx="42">
                        <c:v>0.82756564116088471</c:v>
                      </c:pt>
                      <c:pt idx="43">
                        <c:v>0.861555457578004</c:v>
                      </c:pt>
                      <c:pt idx="44">
                        <c:v>0.87977289516412027</c:v>
                      </c:pt>
                      <c:pt idx="45">
                        <c:v>0.88968721802291173</c:v>
                      </c:pt>
                      <c:pt idx="46">
                        <c:v>0.88654898172546859</c:v>
                      </c:pt>
                      <c:pt idx="47">
                        <c:v>0.90097591869010896</c:v>
                      </c:pt>
                      <c:pt idx="48">
                        <c:v>0.88968721802291173</c:v>
                      </c:pt>
                      <c:pt idx="49">
                        <c:v>0.91072759031798123</c:v>
                      </c:pt>
                      <c:pt idx="50">
                        <c:v>0.9203877222620841</c:v>
                      </c:pt>
                      <c:pt idx="51">
                        <c:v>0.94113565831471024</c:v>
                      </c:pt>
                      <c:pt idx="52">
                        <c:v>0.95874154027068947</c:v>
                      </c:pt>
                      <c:pt idx="53">
                        <c:v>0.9832634160955197</c:v>
                      </c:pt>
                    </c:numCache>
                  </c:numRef>
                </c:yVal>
                <c:smooth val="1"/>
                <c:extLst xmlns:c16r2="http://schemas.microsoft.com/office/drawing/2015/06/chart">
                  <c:ext xmlns:c16="http://schemas.microsoft.com/office/drawing/2014/chart" uri="{C3380CC4-5D6E-409C-BE32-E72D297353CC}">
                    <c16:uniqueId val="{00000002-E994-4651-8495-393EF25D40A4}"/>
                  </c:ext>
                </c:extLst>
              </c15:ser>
            </c15:filteredScatterSeries>
            <c15:filteredScatterSeries>
              <c15:ser>
                <c:idx val="1"/>
                <c:order val="2"/>
                <c:tx>
                  <c:v>Ток катушек 11.2 А</c:v>
                </c:tx>
                <c:spPr>
                  <a:ln w="22225" cap="rnd">
                    <a:solidFill>
                      <a:schemeClr val="tx1"/>
                    </a:solidFill>
                    <a:round/>
                  </a:ln>
                  <a:effectLst/>
                </c:spPr>
                <c:marker>
                  <c:symbol val="triangle"/>
                  <c:size val="8"/>
                  <c:spPr>
                    <a:solidFill>
                      <a:schemeClr val="bg1"/>
                    </a:solidFill>
                    <a:ln w="22225">
                      <a:solidFill>
                        <a:schemeClr val="tx1"/>
                      </a:solidFill>
                    </a:ln>
                    <a:effectLst/>
                  </c:spPr>
                </c:marker>
                <c:errBars>
                  <c:errDir val="x"/>
                  <c:errBarType val="both"/>
                  <c:errValType val="percentage"/>
                  <c:noEndCap val="0"/>
                  <c:val val="0"/>
                  <c:spPr>
                    <a:noFill/>
                    <a:ln w="9525" cap="flat" cmpd="sng" algn="ctr">
                      <a:solidFill>
                        <a:schemeClr val="tx1">
                          <a:lumMod val="65000"/>
                          <a:lumOff val="35000"/>
                        </a:schemeClr>
                      </a:solidFill>
                      <a:round/>
                    </a:ln>
                    <a:effectLst/>
                  </c:spPr>
                </c:errBars>
                <c:errBars>
                  <c:errDir val="y"/>
                  <c:errBarType val="both"/>
                  <c:errValType val="percentage"/>
                  <c:noEndCap val="0"/>
                  <c:val val="10"/>
                  <c:spPr>
                    <a:noFill/>
                    <a:ln w="9525" cap="flat" cmpd="sng" algn="ctr">
                      <a:solidFill>
                        <a:schemeClr val="tx1">
                          <a:lumMod val="65000"/>
                          <a:lumOff val="35000"/>
                        </a:schemeClr>
                      </a:solidFill>
                      <a:round/>
                    </a:ln>
                    <a:effectLst/>
                  </c:spPr>
                </c:errBars>
                <c:xVal>
                  <c:numRef>
                    <c:extLst xmlns:c15="http://schemas.microsoft.com/office/drawing/2012/chart" xmlns:c16r2="http://schemas.microsoft.com/office/drawing/2015/06/chart">
                      <c:ext xmlns:c15="http://schemas.microsoft.com/office/drawing/2012/chart" uri="{02D57815-91ED-43cb-92C2-25804820EDAC}">
                        <c15:formulaRef>
                          <c15:sqref>'По полю пробки'!$B$19:$B$51</c15:sqref>
                        </c15:formulaRef>
                      </c:ext>
                    </c:extLst>
                    <c:numCache>
                      <c:formatCode>General</c:formatCode>
                      <c:ptCount val="33"/>
                      <c:pt idx="0">
                        <c:v>6</c:v>
                      </c:pt>
                      <c:pt idx="1">
                        <c:v>5</c:v>
                      </c:pt>
                      <c:pt idx="2">
                        <c:v>4</c:v>
                      </c:pt>
                      <c:pt idx="3">
                        <c:v>3</c:v>
                      </c:pt>
                      <c:pt idx="4">
                        <c:v>2</c:v>
                      </c:pt>
                      <c:pt idx="5">
                        <c:v>1.5</c:v>
                      </c:pt>
                      <c:pt idx="6">
                        <c:v>1</c:v>
                      </c:pt>
                      <c:pt idx="7">
                        <c:v>0.5</c:v>
                      </c:pt>
                      <c:pt idx="8">
                        <c:v>0.1</c:v>
                      </c:pt>
                      <c:pt idx="9">
                        <c:v>0</c:v>
                      </c:pt>
                      <c:pt idx="10">
                        <c:v>-0.1</c:v>
                      </c:pt>
                      <c:pt idx="11">
                        <c:v>-0.5</c:v>
                      </c:pt>
                      <c:pt idx="12">
                        <c:v>-1</c:v>
                      </c:pt>
                      <c:pt idx="13">
                        <c:v>-1.5</c:v>
                      </c:pt>
                      <c:pt idx="14">
                        <c:v>-2</c:v>
                      </c:pt>
                      <c:pt idx="15">
                        <c:v>-2.5</c:v>
                      </c:pt>
                      <c:pt idx="16">
                        <c:v>-3</c:v>
                      </c:pt>
                      <c:pt idx="17">
                        <c:v>-3.5</c:v>
                      </c:pt>
                      <c:pt idx="18">
                        <c:v>-3.7</c:v>
                      </c:pt>
                      <c:pt idx="19">
                        <c:v>-4</c:v>
                      </c:pt>
                      <c:pt idx="20">
                        <c:v>-4.2</c:v>
                      </c:pt>
                      <c:pt idx="21">
                        <c:v>-4.5</c:v>
                      </c:pt>
                      <c:pt idx="22">
                        <c:v>-4.8</c:v>
                      </c:pt>
                      <c:pt idx="23">
                        <c:v>-5</c:v>
                      </c:pt>
                      <c:pt idx="24">
                        <c:v>-5.2</c:v>
                      </c:pt>
                      <c:pt idx="25">
                        <c:v>-5.5</c:v>
                      </c:pt>
                      <c:pt idx="26">
                        <c:v>-6</c:v>
                      </c:pt>
                      <c:pt idx="27">
                        <c:v>-7</c:v>
                      </c:pt>
                      <c:pt idx="28">
                        <c:v>-7.5</c:v>
                      </c:pt>
                      <c:pt idx="29">
                        <c:v>-7.8</c:v>
                      </c:pt>
                      <c:pt idx="30">
                        <c:v>-8</c:v>
                      </c:pt>
                      <c:pt idx="31">
                        <c:v>-8.1999999999999993</c:v>
                      </c:pt>
                      <c:pt idx="32">
                        <c:v>-8.4</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'По полю пробки'!$J$19:$J$51</c15:sqref>
                        </c15:formulaRef>
                      </c:ext>
                    </c:extLst>
                    <c:numCache>
                      <c:formatCode>General</c:formatCode>
                      <c:ptCount val="33"/>
                      <c:pt idx="0">
                        <c:v>0.40584500841896798</c:v>
                      </c:pt>
                      <c:pt idx="1">
                        <c:v>0.44510843196020466</c:v>
                      </c:pt>
                      <c:pt idx="2">
                        <c:v>0.5493219822360047</c:v>
                      </c:pt>
                      <c:pt idx="3">
                        <c:v>0.80996932001363653</c:v>
                      </c:pt>
                      <c:pt idx="4">
                        <c:v>0.8173388842264675</c:v>
                      </c:pt>
                      <c:pt idx="5">
                        <c:v>0.83107663429079237</c:v>
                      </c:pt>
                      <c:pt idx="6">
                        <c:v>0.73908303360903982</c:v>
                      </c:pt>
                      <c:pt idx="7">
                        <c:v>0.74143249229870567</c:v>
                      </c:pt>
                      <c:pt idx="8">
                        <c:v>0.78714869021667866</c:v>
                      </c:pt>
                      <c:pt idx="9">
                        <c:v>0.85901197049080347</c:v>
                      </c:pt>
                      <c:pt idx="10">
                        <c:v>0.76148079814439573</c:v>
                      </c:pt>
                      <c:pt idx="11">
                        <c:v>0.77386341166122985</c:v>
                      </c:pt>
                      <c:pt idx="12">
                        <c:v>0.82216009353991293</c:v>
                      </c:pt>
                      <c:pt idx="13">
                        <c:v>0.88422841544782205</c:v>
                      </c:pt>
                      <c:pt idx="14">
                        <c:v>0.90453770735926053</c:v>
                      </c:pt>
                      <c:pt idx="15">
                        <c:v>1.0305885481567563</c:v>
                      </c:pt>
                      <c:pt idx="16">
                        <c:v>1.1236733583095357</c:v>
                      </c:pt>
                      <c:pt idx="17">
                        <c:v>1.1762505835119379</c:v>
                      </c:pt>
                      <c:pt idx="18">
                        <c:v>1.1922787127631573</c:v>
                      </c:pt>
                      <c:pt idx="19">
                        <c:v>1.1896745905737867</c:v>
                      </c:pt>
                      <c:pt idx="20">
                        <c:v>1.1799231595035098</c:v>
                      </c:pt>
                      <c:pt idx="21">
                        <c:v>1.1860526717078705</c:v>
                      </c:pt>
                      <c:pt idx="22">
                        <c:v>1.1544846047426218</c:v>
                      </c:pt>
                      <c:pt idx="23">
                        <c:v>1.1716935872971226</c:v>
                      </c:pt>
                      <c:pt idx="24">
                        <c:v>0.72447376937967811</c:v>
                      </c:pt>
                      <c:pt idx="25">
                        <c:v>0.7645206537368151</c:v>
                      </c:pt>
                      <c:pt idx="26">
                        <c:v>0.77494409537442399</c:v>
                      </c:pt>
                      <c:pt idx="27">
                        <c:v>0.82658465399996028</c:v>
                      </c:pt>
                      <c:pt idx="28">
                        <c:v>0.92284158718601861</c:v>
                      </c:pt>
                      <c:pt idx="29">
                        <c:v>0.95734033810886043</c:v>
                      </c:pt>
                      <c:pt idx="30">
                        <c:v>0.92892116851217144</c:v>
                      </c:pt>
                      <c:pt idx="31">
                        <c:v>0.93141140887507734</c:v>
                      </c:pt>
                      <c:pt idx="32">
                        <c:v>0.91605402446729212</c:v>
                      </c:pt>
                    </c:numCache>
                  </c:numRef>
                </c:yVal>
                <c:smooth val="1"/>
                <c:extLst xmlns:c15="http://schemas.microsoft.com/office/drawing/2012/chart" xmlns:c16r2="http://schemas.microsoft.com/office/drawing/2015/06/chart">
                  <c:ext xmlns:c16="http://schemas.microsoft.com/office/drawing/2014/chart" uri="{C3380CC4-5D6E-409C-BE32-E72D297353CC}">
                    <c16:uniqueId val="{00000003-E994-4651-8495-393EF25D40A4}"/>
                  </c:ext>
                </c:extLst>
              </c15:ser>
            </c15:filteredScatterSeries>
            <c15:filteredScatterSeries>
              <c15:ser>
                <c:idx val="2"/>
                <c:order val="3"/>
                <c:tx>
                  <c:v>Поле 1.2 В</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'По полю пробки'!$B$2:$B$18</c15:sqref>
                        </c15:formulaRef>
                      </c:ext>
                    </c:extLst>
                    <c:numCache>
                      <c:formatCode>General</c:formatCode>
                      <c:ptCount val="17"/>
                      <c:pt idx="0">
                        <c:v>8.4</c:v>
                      </c:pt>
                      <c:pt idx="1">
                        <c:v>6</c:v>
                      </c:pt>
                      <c:pt idx="2">
                        <c:v>3</c:v>
                      </c:pt>
                      <c:pt idx="3">
                        <c:v>1</c:v>
                      </c:pt>
                      <c:pt idx="4">
                        <c:v>0</c:v>
                      </c:pt>
                      <c:pt idx="5">
                        <c:v>-1</c:v>
                      </c:pt>
                      <c:pt idx="6">
                        <c:v>-2</c:v>
                      </c:pt>
                      <c:pt idx="7">
                        <c:v>-3</c:v>
                      </c:pt>
                      <c:pt idx="8">
                        <c:v>-4</c:v>
                      </c:pt>
                      <c:pt idx="9">
                        <c:v>-5</c:v>
                      </c:pt>
                      <c:pt idx="10">
                        <c:v>-5.5</c:v>
                      </c:pt>
                      <c:pt idx="11">
                        <c:v>-6</c:v>
                      </c:pt>
                      <c:pt idx="12">
                        <c:v>-6.5</c:v>
                      </c:pt>
                      <c:pt idx="13">
                        <c:v>-7</c:v>
                      </c:pt>
                      <c:pt idx="14">
                        <c:v>-7.5</c:v>
                      </c:pt>
                      <c:pt idx="15">
                        <c:v>-8</c:v>
                      </c:pt>
                      <c:pt idx="16">
                        <c:v>-8.4</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'По полю пробки'!$I$2:$I$18</c15:sqref>
                        </c15:formulaRef>
                      </c:ext>
                    </c:extLst>
                    <c:numCache>
                      <c:formatCode>0.00E+00</c:formatCode>
                      <c:ptCount val="17"/>
                      <c:pt idx="0">
                        <c:v>333128790601.27118</c:v>
                      </c:pt>
                      <c:pt idx="1">
                        <c:v>340523068652.40259</c:v>
                      </c:pt>
                      <c:pt idx="2">
                        <c:v>344976991156.21252</c:v>
                      </c:pt>
                      <c:pt idx="3">
                        <c:v>374731984452.31787</c:v>
                      </c:pt>
                      <c:pt idx="4">
                        <c:v>393590518621.05896</c:v>
                      </c:pt>
                      <c:pt idx="5">
                        <c:v>497685297278.28741</c:v>
                      </c:pt>
                      <c:pt idx="6">
                        <c:v>629718952173.34302</c:v>
                      </c:pt>
                      <c:pt idx="7">
                        <c:v>712856586312.72913</c:v>
                      </c:pt>
                      <c:pt idx="8">
                        <c:v>688398395771.71399</c:v>
                      </c:pt>
                      <c:pt idx="9">
                        <c:v>715873604437.41736</c:v>
                      </c:pt>
                      <c:pt idx="10">
                        <c:v>718213447626.59387</c:v>
                      </c:pt>
                      <c:pt idx="11">
                        <c:v>761957225077.74902</c:v>
                      </c:pt>
                      <c:pt idx="12">
                        <c:v>775337064685.19946</c:v>
                      </c:pt>
                      <c:pt idx="13">
                        <c:v>754886686639.7749</c:v>
                      </c:pt>
                      <c:pt idx="14">
                        <c:v>685240604965.42175</c:v>
                      </c:pt>
                      <c:pt idx="15">
                        <c:v>679821689752.1554</c:v>
                      </c:pt>
                      <c:pt idx="16">
                        <c:v>718997953908.51233</c:v>
                      </c:pt>
                    </c:numCache>
                  </c:numRef>
                </c:yVal>
                <c:smooth val="1"/>
                <c:extLst xmlns:c15="http://schemas.microsoft.com/office/drawing/2012/chart" xmlns:c16r2="http://schemas.microsoft.com/office/drawing/2015/06/chart">
                  <c:ext xmlns:c16="http://schemas.microsoft.com/office/drawing/2014/chart" uri="{C3380CC4-5D6E-409C-BE32-E72D297353CC}">
                    <c16:uniqueId val="{00000004-E994-4651-8495-393EF25D40A4}"/>
                  </c:ext>
                </c:extLst>
              </c15:ser>
            </c15:filteredScatterSeries>
            <c15:filteredScatterSeries>
              <c15:ser>
                <c:idx val="3"/>
                <c:order val="4"/>
                <c:tx>
                  <c:v>Поле 2.1 В</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'По полю пробки'!$B$106:$B$131</c15:sqref>
                        </c15:formulaRef>
                      </c:ext>
                    </c:extLst>
                    <c:numCache>
                      <c:formatCode>General</c:formatCode>
                      <c:ptCount val="26"/>
                      <c:pt idx="0">
                        <c:v>8.4</c:v>
                      </c:pt>
                      <c:pt idx="1">
                        <c:v>5</c:v>
                      </c:pt>
                      <c:pt idx="2">
                        <c:v>3</c:v>
                      </c:pt>
                      <c:pt idx="3">
                        <c:v>1</c:v>
                      </c:pt>
                      <c:pt idx="4">
                        <c:v>0</c:v>
                      </c:pt>
                      <c:pt idx="5">
                        <c:v>-0.5</c:v>
                      </c:pt>
                      <c:pt idx="6">
                        <c:v>-1</c:v>
                      </c:pt>
                      <c:pt idx="7">
                        <c:v>-1.5</c:v>
                      </c:pt>
                      <c:pt idx="8">
                        <c:v>-2</c:v>
                      </c:pt>
                      <c:pt idx="9">
                        <c:v>-2.5</c:v>
                      </c:pt>
                      <c:pt idx="10">
                        <c:v>-3</c:v>
                      </c:pt>
                      <c:pt idx="11">
                        <c:v>-3.5</c:v>
                      </c:pt>
                      <c:pt idx="12">
                        <c:v>-4</c:v>
                      </c:pt>
                      <c:pt idx="13">
                        <c:v>-4.5</c:v>
                      </c:pt>
                      <c:pt idx="14">
                        <c:v>-5</c:v>
                      </c:pt>
                      <c:pt idx="15">
                        <c:v>-5.5</c:v>
                      </c:pt>
                      <c:pt idx="16">
                        <c:v>-6</c:v>
                      </c:pt>
                      <c:pt idx="17">
                        <c:v>-6.2</c:v>
                      </c:pt>
                      <c:pt idx="18">
                        <c:v>-6.5</c:v>
                      </c:pt>
                      <c:pt idx="19">
                        <c:v>-6.7</c:v>
                      </c:pt>
                      <c:pt idx="20">
                        <c:v>-7</c:v>
                      </c:pt>
                      <c:pt idx="21">
                        <c:v>-7.2</c:v>
                      </c:pt>
                      <c:pt idx="22">
                        <c:v>-7.7</c:v>
                      </c:pt>
                      <c:pt idx="23">
                        <c:v>-8</c:v>
                      </c:pt>
                      <c:pt idx="24">
                        <c:v>-8.1999999999999993</c:v>
                      </c:pt>
                      <c:pt idx="25">
                        <c:v>-8.4</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'По полю пробки'!$I$106:$I$131</c15:sqref>
                        </c15:formulaRef>
                      </c:ext>
                    </c:extLst>
                    <c:numCache>
                      <c:formatCode>0.00E+00</c:formatCode>
                      <c:ptCount val="26"/>
                      <c:pt idx="0">
                        <c:v>205241707509.79941</c:v>
                      </c:pt>
                      <c:pt idx="1">
                        <c:v>286643828418.21161</c:v>
                      </c:pt>
                      <c:pt idx="2">
                        <c:v>292204059630.31238</c:v>
                      </c:pt>
                      <c:pt idx="3">
                        <c:v>338045165310.25787</c:v>
                      </c:pt>
                      <c:pt idx="4">
                        <c:v>352583697485.95093</c:v>
                      </c:pt>
                      <c:pt idx="5">
                        <c:v>342297472911.39795</c:v>
                      </c:pt>
                      <c:pt idx="6">
                        <c:v>330010511766.88794</c:v>
                      </c:pt>
                      <c:pt idx="7">
                        <c:v>320978591771.43256</c:v>
                      </c:pt>
                      <c:pt idx="8">
                        <c:v>311979192002.14001</c:v>
                      </c:pt>
                      <c:pt idx="9">
                        <c:v>341063425714.81372</c:v>
                      </c:pt>
                      <c:pt idx="10">
                        <c:v>383871788951.15491</c:v>
                      </c:pt>
                      <c:pt idx="11">
                        <c:v>397035610678.4892</c:v>
                      </c:pt>
                      <c:pt idx="12">
                        <c:v>391566059980.24097</c:v>
                      </c:pt>
                      <c:pt idx="13">
                        <c:v>388946859614.61414</c:v>
                      </c:pt>
                      <c:pt idx="14">
                        <c:v>366014993182.6001</c:v>
                      </c:pt>
                      <c:pt idx="15">
                        <c:v>363314324880.97754</c:v>
                      </c:pt>
                      <c:pt idx="16">
                        <c:v>356728020693.15869</c:v>
                      </c:pt>
                      <c:pt idx="17">
                        <c:v>355664745539.10846</c:v>
                      </c:pt>
                      <c:pt idx="18">
                        <c:v>353566410143.16327</c:v>
                      </c:pt>
                      <c:pt idx="19">
                        <c:v>353566410143.16327</c:v>
                      </c:pt>
                      <c:pt idx="20">
                        <c:v>361344351221.28595</c:v>
                      </c:pt>
                      <c:pt idx="21">
                        <c:v>360094820374.62262</c:v>
                      </c:pt>
                      <c:pt idx="22">
                        <c:v>371710782322.1911</c:v>
                      </c:pt>
                      <c:pt idx="23">
                        <c:v>377867639410.80792</c:v>
                      </c:pt>
                      <c:pt idx="24">
                        <c:v>379694681968.2619</c:v>
                      </c:pt>
                      <c:pt idx="25">
                        <c:v>388456866936.76025</c:v>
                      </c:pt>
                    </c:numCache>
                  </c:numRef>
                </c:yVal>
                <c:smooth val="1"/>
                <c:extLst xmlns:c15="http://schemas.microsoft.com/office/drawing/2012/chart" xmlns:c16r2="http://schemas.microsoft.com/office/drawing/2015/06/chart">
                  <c:ext xmlns:c16="http://schemas.microsoft.com/office/drawing/2014/chart" uri="{C3380CC4-5D6E-409C-BE32-E72D297353CC}">
                    <c16:uniqueId val="{00000005-E994-4651-8495-393EF25D40A4}"/>
                  </c:ext>
                </c:extLst>
              </c15:ser>
            </c15:filteredScatterSeries>
          </c:ext>
        </c:extLst>
      </c:scatterChart>
      <c:valAx>
        <c:axId val="640134000"/>
        <c:scaling>
          <c:orientation val="minMax"/>
          <c:max val="10"/>
          <c:min val="-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mn-cs"/>
                  </a:defRPr>
                </a:pPr>
                <a:r>
                  <a:rPr lang="en-US" sz="1100" b="0" baseline="0">
                    <a:solidFill>
                      <a:schemeClr val="tx1"/>
                    </a:solidFill>
                    <a:latin typeface="Times New Roman" panose="02020603050405020304" pitchFamily="18" charset="0"/>
                    <a:cs typeface="Arial" panose="020B0604020202020204" pitchFamily="34" charset="0"/>
                  </a:rPr>
                  <a:t>Mirror coil current</a:t>
                </a:r>
                <a:r>
                  <a:rPr lang="ru-RU" sz="1100" b="0" baseline="0">
                    <a:solidFill>
                      <a:schemeClr val="tx1"/>
                    </a:solidFill>
                    <a:latin typeface="Times New Roman" panose="02020603050405020304" pitchFamily="18" charset="0"/>
                    <a:cs typeface="Arial" panose="020B0604020202020204" pitchFamily="34" charset="0"/>
                  </a:rPr>
                  <a:t>, А</a:t>
                </a:r>
              </a:p>
            </c:rich>
          </c:tx>
          <c:layout>
            <c:manualLayout>
              <c:xMode val="edge"/>
              <c:yMode val="edge"/>
              <c:x val="0.28416638518095888"/>
              <c:y val="0.872562837039979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71736816"/>
        <c:crossesAt val="-40"/>
        <c:crossBetween val="midCat"/>
        <c:majorUnit val="5"/>
      </c:valAx>
      <c:valAx>
        <c:axId val="571736816"/>
        <c:scaling>
          <c:orientation val="minMax"/>
          <c:max val="3"/>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40134000"/>
        <c:crossesAt val="-10"/>
        <c:crossBetween val="midCat"/>
        <c:majorUnit val="0.5"/>
      </c:valAx>
      <c:spPr>
        <a:noFill/>
        <a:ln>
          <a:noFill/>
        </a:ln>
        <a:effectLst/>
      </c:spPr>
    </c:plotArea>
    <c:legend>
      <c:legendPos val="b"/>
      <c:layout>
        <c:manualLayout>
          <c:xMode val="edge"/>
          <c:yMode val="edge"/>
          <c:x val="0.57790620137808402"/>
          <c:y val="0.1105459864391951"/>
          <c:w val="0.36430317848410754"/>
          <c:h val="9.778743479849827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ru-RU" sz="1100" b="0" i="0" u="none" strike="noStrike" kern="1200" spc="0" baseline="0" dirty="0" smtClean="0">
                <a:solidFill>
                  <a:schemeClr val="tx1"/>
                </a:solidFill>
                <a:latin typeface="Times New Roman" panose="02020603050405020304" pitchFamily="18" charset="0"/>
                <a:ea typeface="+mn-ea"/>
                <a:cs typeface="Times New Roman" panose="02020603050405020304" pitchFamily="18" charset="0"/>
              </a:defRPr>
            </a:pPr>
            <a:r>
              <a:rPr lang="en-US" sz="1100" b="0" i="0" u="none" strike="noStrike" kern="1200" spc="0" baseline="0" dirty="0">
                <a:solidFill>
                  <a:schemeClr val="tx1"/>
                </a:solidFill>
                <a:latin typeface="Times New Roman" panose="02020603050405020304" pitchFamily="18" charset="0"/>
                <a:ea typeface="+mn-ea"/>
                <a:cs typeface="Times New Roman" panose="02020603050405020304" pitchFamily="18" charset="0"/>
              </a:rPr>
              <a:t>Plasma density</a:t>
            </a:r>
            <a:r>
              <a:rPr lang="ru-RU" sz="1100" b="0" i="0" u="none" strike="noStrike" kern="1200" spc="0" baseline="0" dirty="0">
                <a:solidFill>
                  <a:schemeClr val="tx1"/>
                </a:solidFill>
                <a:latin typeface="Times New Roman" panose="02020603050405020304" pitchFamily="18" charset="0"/>
                <a:ea typeface="+mn-ea"/>
                <a:cs typeface="Times New Roman" panose="02020603050405020304" pitchFamily="18" charset="0"/>
              </a:rPr>
              <a:t> 10</a:t>
            </a:r>
            <a:r>
              <a:rPr lang="ru-RU" sz="1100" b="0" i="0" u="none" strike="noStrike" kern="1200" spc="0" baseline="30000" dirty="0">
                <a:solidFill>
                  <a:schemeClr val="tx1"/>
                </a:solidFill>
                <a:latin typeface="Times New Roman" panose="02020603050405020304" pitchFamily="18" charset="0"/>
                <a:ea typeface="+mn-ea"/>
                <a:cs typeface="Times New Roman" panose="02020603050405020304" pitchFamily="18" charset="0"/>
              </a:rPr>
              <a:t>12</a:t>
            </a:r>
            <a:r>
              <a:rPr lang="ru-RU" sz="1100" b="0" i="0" u="none" strike="noStrike" kern="1200" spc="0" baseline="0" dirty="0">
                <a:solidFill>
                  <a:schemeClr val="tx1"/>
                </a:solidFill>
                <a:latin typeface="Times New Roman" panose="02020603050405020304" pitchFamily="18" charset="0"/>
                <a:ea typeface="+mn-ea"/>
                <a:cs typeface="Times New Roman" panose="02020603050405020304" pitchFamily="18" charset="0"/>
              </a:rPr>
              <a:t>, </a:t>
            </a:r>
            <a:r>
              <a:rPr lang="en-US" sz="1100" b="0" i="0" u="none" strike="noStrike" kern="1200" spc="0" baseline="0" dirty="0">
                <a:solidFill>
                  <a:schemeClr val="tx1"/>
                </a:solidFill>
                <a:latin typeface="Times New Roman" panose="02020603050405020304" pitchFamily="18" charset="0"/>
                <a:ea typeface="+mn-ea"/>
                <a:cs typeface="Times New Roman" panose="02020603050405020304" pitchFamily="18" charset="0"/>
              </a:rPr>
              <a:t>cm</a:t>
            </a:r>
            <a:r>
              <a:rPr lang="ru-RU" sz="1100" b="0" i="0" u="none" strike="noStrike" kern="1200" spc="0" baseline="30000" dirty="0">
                <a:solidFill>
                  <a:schemeClr val="tx1"/>
                </a:solidFill>
                <a:latin typeface="Times New Roman" panose="02020603050405020304" pitchFamily="18" charset="0"/>
                <a:ea typeface="+mn-ea"/>
                <a:cs typeface="Times New Roman" panose="02020603050405020304" pitchFamily="18" charset="0"/>
              </a:rPr>
              <a:t>-3</a:t>
            </a:r>
          </a:p>
        </c:rich>
      </c:tx>
      <c:layout>
        <c:manualLayout>
          <c:xMode val="edge"/>
          <c:yMode val="edge"/>
          <c:x val="9.9534670949854742E-2"/>
          <c:y val="2.2228831734005176E-4"/>
        </c:manualLayout>
      </c:layout>
      <c:overlay val="0"/>
      <c:spPr>
        <a:noFill/>
        <a:ln>
          <a:noFill/>
        </a:ln>
        <a:effectLst/>
      </c:spPr>
    </c:title>
    <c:autoTitleDeleted val="0"/>
    <c:plotArea>
      <c:layout>
        <c:manualLayout>
          <c:layoutTarget val="inner"/>
          <c:xMode val="edge"/>
          <c:yMode val="edge"/>
          <c:x val="9.3669161219433292E-2"/>
          <c:y val="8.0989511421552751E-2"/>
          <c:w val="0.89979479208862978"/>
          <c:h val="0.64708552380507356"/>
        </c:manualLayout>
      </c:layout>
      <c:scatterChart>
        <c:scatterStyle val="smoothMarker"/>
        <c:varyColors val="0"/>
        <c:ser>
          <c:idx val="0"/>
          <c:order val="0"/>
          <c:tx>
            <c:v>Icc=4.6 А, Imcc=4.6 A</c:v>
          </c:tx>
          <c:spPr>
            <a:ln w="12700" cap="rnd">
              <a:solidFill>
                <a:schemeClr val="tx1"/>
              </a:solidFill>
              <a:round/>
            </a:ln>
            <a:effectLst/>
          </c:spPr>
          <c:marker>
            <c:symbol val="triangle"/>
            <c:size val="4"/>
            <c:spPr>
              <a:solidFill>
                <a:schemeClr val="bg1"/>
              </a:solidFill>
              <a:ln w="12700">
                <a:solidFill>
                  <a:schemeClr val="tx1"/>
                </a:solidFill>
              </a:ln>
              <a:effectLst/>
            </c:spPr>
          </c:marker>
          <c:errBars>
            <c:errDir val="x"/>
            <c:errBarType val="both"/>
            <c:errValType val="percentage"/>
            <c:noEndCap val="0"/>
            <c:val val="0"/>
            <c:spPr>
              <a:noFill/>
              <a:ln w="9525" cap="flat" cmpd="sng" algn="ctr">
                <a:solidFill>
                  <a:schemeClr val="tx1">
                    <a:lumMod val="65000"/>
                    <a:lumOff val="35000"/>
                  </a:schemeClr>
                </a:solidFill>
                <a:round/>
              </a:ln>
              <a:effectLst/>
            </c:spPr>
          </c:errBars>
          <c:errBars>
            <c:errDir val="y"/>
            <c:errBarType val="both"/>
            <c:errValType val="percentage"/>
            <c:noEndCap val="0"/>
            <c:val val="25"/>
            <c:spPr>
              <a:noFill/>
              <a:ln w="6350" cap="flat" cmpd="sng" algn="ctr">
                <a:solidFill>
                  <a:schemeClr val="tx1">
                    <a:lumMod val="65000"/>
                    <a:lumOff val="35000"/>
                  </a:schemeClr>
                </a:solidFill>
                <a:round/>
              </a:ln>
              <a:effectLst/>
            </c:spPr>
          </c:errBars>
          <c:xVal>
            <c:numRef>
              <c:f>'По радиусу'!$C$313:$C$323</c:f>
              <c:numCache>
                <c:formatCode>General</c:formatCode>
                <c:ptCount val="11"/>
                <c:pt idx="0">
                  <c:v>-4.5</c:v>
                </c:pt>
                <c:pt idx="1">
                  <c:v>-3.5</c:v>
                </c:pt>
                <c:pt idx="2">
                  <c:v>-2.5</c:v>
                </c:pt>
                <c:pt idx="3">
                  <c:v>-1.5</c:v>
                </c:pt>
                <c:pt idx="4">
                  <c:v>-0.5</c:v>
                </c:pt>
                <c:pt idx="5">
                  <c:v>0.5</c:v>
                </c:pt>
                <c:pt idx="6">
                  <c:v>1.5</c:v>
                </c:pt>
                <c:pt idx="7">
                  <c:v>2.5</c:v>
                </c:pt>
                <c:pt idx="8">
                  <c:v>3.5</c:v>
                </c:pt>
                <c:pt idx="9">
                  <c:v>4.5</c:v>
                </c:pt>
                <c:pt idx="10">
                  <c:v>5</c:v>
                </c:pt>
              </c:numCache>
            </c:numRef>
          </c:xVal>
          <c:yVal>
            <c:numRef>
              <c:f>'По радиусу'!$H$313:$H$323</c:f>
              <c:numCache>
                <c:formatCode>0.00E+00</c:formatCode>
                <c:ptCount val="11"/>
                <c:pt idx="0">
                  <c:v>0.10671161997241556</c:v>
                </c:pt>
                <c:pt idx="1">
                  <c:v>0.15836780669175013</c:v>
                </c:pt>
                <c:pt idx="2">
                  <c:v>0.22280683748877697</c:v>
                </c:pt>
                <c:pt idx="3">
                  <c:v>0.27900101279323075</c:v>
                </c:pt>
                <c:pt idx="4">
                  <c:v>0.31643347853949455</c:v>
                </c:pt>
                <c:pt idx="5">
                  <c:v>0.31611640514061595</c:v>
                </c:pt>
                <c:pt idx="6">
                  <c:v>0.28123743071539214</c:v>
                </c:pt>
                <c:pt idx="7">
                  <c:v>0.21041954649356626</c:v>
                </c:pt>
                <c:pt idx="8">
                  <c:v>0.2205149883738752</c:v>
                </c:pt>
                <c:pt idx="9">
                  <c:v>7.0470865160563945E-2</c:v>
                </c:pt>
                <c:pt idx="10">
                  <c:v>3.0887773459156189E-2</c:v>
                </c:pt>
              </c:numCache>
            </c:numRef>
          </c:yVal>
          <c:smooth val="1"/>
          <c:extLst xmlns:c16r2="http://schemas.microsoft.com/office/drawing/2015/06/chart">
            <c:ext xmlns:c16="http://schemas.microsoft.com/office/drawing/2014/chart" uri="{C3380CC4-5D6E-409C-BE32-E72D297353CC}">
              <c16:uniqueId val="{00000000-033C-4287-BFE7-885A4691DE52}"/>
            </c:ext>
          </c:extLst>
        </c:ser>
        <c:ser>
          <c:idx val="1"/>
          <c:order val="1"/>
          <c:tx>
            <c:v>Icc=7.2 А, Imcc=-8.4 А</c:v>
          </c:tx>
          <c:spPr>
            <a:ln w="12700" cap="rnd">
              <a:solidFill>
                <a:schemeClr val="tx1"/>
              </a:solidFill>
              <a:round/>
            </a:ln>
            <a:effectLst/>
          </c:spPr>
          <c:marker>
            <c:symbol val="circle"/>
            <c:size val="3"/>
            <c:spPr>
              <a:solidFill>
                <a:schemeClr val="bg1"/>
              </a:solidFill>
              <a:ln w="12700">
                <a:solidFill>
                  <a:schemeClr val="tx1"/>
                </a:solidFill>
              </a:ln>
              <a:effectLst/>
            </c:spPr>
          </c:marker>
          <c:errBars>
            <c:errDir val="x"/>
            <c:errBarType val="both"/>
            <c:errValType val="percentage"/>
            <c:noEndCap val="0"/>
            <c:val val="0"/>
            <c:spPr>
              <a:noFill/>
              <a:ln w="9525" cap="flat" cmpd="sng" algn="ctr">
                <a:solidFill>
                  <a:schemeClr val="tx1">
                    <a:lumMod val="65000"/>
                    <a:lumOff val="35000"/>
                  </a:schemeClr>
                </a:solidFill>
                <a:round/>
              </a:ln>
              <a:effectLst/>
            </c:spPr>
          </c:errBars>
          <c:errBars>
            <c:errDir val="y"/>
            <c:errBarType val="both"/>
            <c:errValType val="percentage"/>
            <c:noEndCap val="0"/>
            <c:val val="10"/>
            <c:spPr>
              <a:noFill/>
              <a:ln w="6350" cap="flat" cmpd="sng" algn="ctr">
                <a:solidFill>
                  <a:schemeClr val="tx1">
                    <a:lumMod val="65000"/>
                    <a:lumOff val="35000"/>
                  </a:schemeClr>
                </a:solidFill>
                <a:round/>
              </a:ln>
              <a:effectLst/>
            </c:spPr>
          </c:errBars>
          <c:xVal>
            <c:numRef>
              <c:f>'По радиусу'!$C$204:$C$213</c:f>
              <c:numCache>
                <c:formatCode>General</c:formatCode>
                <c:ptCount val="10"/>
                <c:pt idx="0">
                  <c:v>-4.5</c:v>
                </c:pt>
                <c:pt idx="1">
                  <c:v>-3.5</c:v>
                </c:pt>
                <c:pt idx="2">
                  <c:v>-2.5</c:v>
                </c:pt>
                <c:pt idx="3">
                  <c:v>-1.5</c:v>
                </c:pt>
                <c:pt idx="4">
                  <c:v>-0.5</c:v>
                </c:pt>
                <c:pt idx="5">
                  <c:v>0.5</c:v>
                </c:pt>
                <c:pt idx="6">
                  <c:v>1.5</c:v>
                </c:pt>
                <c:pt idx="7">
                  <c:v>2.5</c:v>
                </c:pt>
                <c:pt idx="8">
                  <c:v>3.5</c:v>
                </c:pt>
                <c:pt idx="9">
                  <c:v>4.5</c:v>
                </c:pt>
              </c:numCache>
            </c:numRef>
          </c:xVal>
          <c:yVal>
            <c:numRef>
              <c:f>'По радиусу'!$H$204:$H$213</c:f>
              <c:numCache>
                <c:formatCode>0.00E+00</c:formatCode>
                <c:ptCount val="10"/>
                <c:pt idx="0">
                  <c:v>0.13673635290430244</c:v>
                </c:pt>
                <c:pt idx="1">
                  <c:v>0.30870147206305931</c:v>
                </c:pt>
                <c:pt idx="2">
                  <c:v>0.77632703529932334</c:v>
                </c:pt>
                <c:pt idx="3">
                  <c:v>0.77937088190191228</c:v>
                </c:pt>
                <c:pt idx="4">
                  <c:v>1.131166004152125</c:v>
                </c:pt>
                <c:pt idx="5">
                  <c:v>1.1468443189241389</c:v>
                </c:pt>
                <c:pt idx="6">
                  <c:v>0.86436412177656563</c:v>
                </c:pt>
                <c:pt idx="7">
                  <c:v>0.87941264598896696</c:v>
                </c:pt>
                <c:pt idx="8">
                  <c:v>0.35146615522152475</c:v>
                </c:pt>
                <c:pt idx="9">
                  <c:v>7.0729926322620651E-2</c:v>
                </c:pt>
              </c:numCache>
            </c:numRef>
          </c:yVal>
          <c:smooth val="1"/>
          <c:extLst xmlns:c16r2="http://schemas.microsoft.com/office/drawing/2015/06/chart">
            <c:ext xmlns:c16="http://schemas.microsoft.com/office/drawing/2014/chart" uri="{C3380CC4-5D6E-409C-BE32-E72D297353CC}">
              <c16:uniqueId val="{00000001-033C-4287-BFE7-885A4691DE52}"/>
            </c:ext>
          </c:extLst>
        </c:ser>
        <c:ser>
          <c:idx val="2"/>
          <c:order val="2"/>
          <c:tx>
            <c:v>Icc=7.9 А, Imcc=-16.2 А</c:v>
          </c:tx>
          <c:spPr>
            <a:ln w="12700" cap="rnd">
              <a:solidFill>
                <a:schemeClr val="tx1"/>
              </a:solidFill>
              <a:round/>
            </a:ln>
            <a:effectLst/>
          </c:spPr>
          <c:marker>
            <c:symbol val="square"/>
            <c:size val="3"/>
            <c:spPr>
              <a:solidFill>
                <a:schemeClr val="bg1"/>
              </a:solidFill>
              <a:ln w="12700">
                <a:solidFill>
                  <a:schemeClr val="tx1"/>
                </a:solidFill>
              </a:ln>
              <a:effectLst/>
            </c:spPr>
          </c:marker>
          <c:errBars>
            <c:errDir val="x"/>
            <c:errBarType val="both"/>
            <c:errValType val="percentage"/>
            <c:noEndCap val="0"/>
            <c:val val="0"/>
            <c:spPr>
              <a:noFill/>
              <a:ln w="9525" cap="flat" cmpd="sng" algn="ctr">
                <a:solidFill>
                  <a:schemeClr val="tx1">
                    <a:lumMod val="65000"/>
                    <a:lumOff val="35000"/>
                  </a:schemeClr>
                </a:solidFill>
                <a:round/>
              </a:ln>
              <a:effectLst/>
            </c:spPr>
          </c:errBars>
          <c:errBars>
            <c:errDir val="y"/>
            <c:errBarType val="both"/>
            <c:errValType val="percentage"/>
            <c:noEndCap val="0"/>
            <c:val val="10"/>
            <c:spPr>
              <a:noFill/>
              <a:ln w="6350" cap="flat" cmpd="sng" algn="ctr">
                <a:solidFill>
                  <a:schemeClr val="tx1">
                    <a:lumMod val="65000"/>
                    <a:lumOff val="35000"/>
                  </a:schemeClr>
                </a:solidFill>
                <a:round/>
              </a:ln>
              <a:effectLst/>
            </c:spPr>
          </c:errBars>
          <c:xVal>
            <c:numRef>
              <c:f>'По радиусу'!$C$359:$C$372</c:f>
              <c:numCache>
                <c:formatCode>General</c:formatCode>
                <c:ptCount val="14"/>
                <c:pt idx="0">
                  <c:v>-4.5</c:v>
                </c:pt>
                <c:pt idx="1">
                  <c:v>-3.5</c:v>
                </c:pt>
                <c:pt idx="2">
                  <c:v>-2.5</c:v>
                </c:pt>
                <c:pt idx="3">
                  <c:v>-1.5</c:v>
                </c:pt>
                <c:pt idx="4">
                  <c:v>-1</c:v>
                </c:pt>
                <c:pt idx="5">
                  <c:v>-0.5</c:v>
                </c:pt>
                <c:pt idx="6">
                  <c:v>0</c:v>
                </c:pt>
                <c:pt idx="7">
                  <c:v>0.5</c:v>
                </c:pt>
                <c:pt idx="8">
                  <c:v>1</c:v>
                </c:pt>
                <c:pt idx="9">
                  <c:v>1.5</c:v>
                </c:pt>
                <c:pt idx="10">
                  <c:v>2.5</c:v>
                </c:pt>
                <c:pt idx="11">
                  <c:v>3.5</c:v>
                </c:pt>
                <c:pt idx="12">
                  <c:v>4.5</c:v>
                </c:pt>
                <c:pt idx="13">
                  <c:v>5</c:v>
                </c:pt>
              </c:numCache>
            </c:numRef>
          </c:xVal>
          <c:yVal>
            <c:numRef>
              <c:f>'По радиусу'!$H$359:$H$372</c:f>
              <c:numCache>
                <c:formatCode>0.00E+00</c:formatCode>
                <c:ptCount val="14"/>
                <c:pt idx="0">
                  <c:v>0.1565117012348555</c:v>
                </c:pt>
                <c:pt idx="1">
                  <c:v>0.32700068563539575</c:v>
                </c:pt>
                <c:pt idx="2">
                  <c:v>0.54062759658435122</c:v>
                </c:pt>
                <c:pt idx="3">
                  <c:v>1.5943949720159798</c:v>
                </c:pt>
                <c:pt idx="4">
                  <c:v>2.4212079908995947</c:v>
                </c:pt>
                <c:pt idx="5">
                  <c:v>2.8254261284078681</c:v>
                </c:pt>
                <c:pt idx="6">
                  <c:v>2.9845608639632908</c:v>
                </c:pt>
                <c:pt idx="7">
                  <c:v>2.4706203988771382</c:v>
                </c:pt>
                <c:pt idx="8">
                  <c:v>2.0069309500138366</c:v>
                </c:pt>
                <c:pt idx="9">
                  <c:v>1.2448489275066881</c:v>
                </c:pt>
                <c:pt idx="10">
                  <c:v>0.55428732342112519</c:v>
                </c:pt>
                <c:pt idx="11">
                  <c:v>0.25294047863122565</c:v>
                </c:pt>
                <c:pt idx="12">
                  <c:v>7.2919351811837702E-2</c:v>
                </c:pt>
                <c:pt idx="13">
                  <c:v>3.6591451080010676E-2</c:v>
                </c:pt>
              </c:numCache>
            </c:numRef>
          </c:yVal>
          <c:smooth val="1"/>
          <c:extLst xmlns:c16r2="http://schemas.microsoft.com/office/drawing/2015/06/chart">
            <c:ext xmlns:c16="http://schemas.microsoft.com/office/drawing/2014/chart" uri="{C3380CC4-5D6E-409C-BE32-E72D297353CC}">
              <c16:uniqueId val="{00000002-033C-4287-BFE7-885A4691DE52}"/>
            </c:ext>
          </c:extLst>
        </c:ser>
        <c:dLbls>
          <c:showLegendKey val="0"/>
          <c:showVal val="0"/>
          <c:showCatName val="0"/>
          <c:showSerName val="0"/>
          <c:showPercent val="0"/>
          <c:showBubbleSize val="0"/>
        </c:dLbls>
        <c:axId val="565636432"/>
        <c:axId val="565636824"/>
        <c:extLst xmlns:c16r2="http://schemas.microsoft.com/office/drawing/2015/06/chart">
          <c:ext xmlns:c15="http://schemas.microsoft.com/office/drawing/2012/chart" uri="{02D57815-91ED-43cb-92C2-25804820EDAC}">
            <c15:filteredScatterSeries>
              <c15:ser>
                <c:idx val="3"/>
                <c:order val="3"/>
                <c:tx>
                  <c:v>Поле 11.2 А -8.4 А</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6r2="http://schemas.microsoft.com/office/drawing/2015/06/chart">
                      <c:ext uri="{02D57815-91ED-43cb-92C2-25804820EDAC}">
                        <c15:formulaRef>
                          <c15:sqref>'По радиусу'!$C$81:$C$97</c15:sqref>
                        </c15:formulaRef>
                      </c:ext>
                    </c:extLst>
                    <c:numCache>
                      <c:formatCode>General</c:formatCode>
                      <c:ptCount val="17"/>
                      <c:pt idx="0">
                        <c:v>-4.5</c:v>
                      </c:pt>
                      <c:pt idx="1">
                        <c:v>-3.5</c:v>
                      </c:pt>
                      <c:pt idx="2">
                        <c:v>-3</c:v>
                      </c:pt>
                      <c:pt idx="3">
                        <c:v>-2.7</c:v>
                      </c:pt>
                      <c:pt idx="4">
                        <c:v>-2.5</c:v>
                      </c:pt>
                      <c:pt idx="5">
                        <c:v>-1.5</c:v>
                      </c:pt>
                      <c:pt idx="6">
                        <c:v>-0.5</c:v>
                      </c:pt>
                      <c:pt idx="7">
                        <c:v>0.5</c:v>
                      </c:pt>
                      <c:pt idx="8">
                        <c:v>1.5</c:v>
                      </c:pt>
                      <c:pt idx="9">
                        <c:v>2.5</c:v>
                      </c:pt>
                      <c:pt idx="10">
                        <c:v>2.8000000000000007</c:v>
                      </c:pt>
                      <c:pt idx="11">
                        <c:v>3</c:v>
                      </c:pt>
                      <c:pt idx="12">
                        <c:v>3.3000000000000007</c:v>
                      </c:pt>
                      <c:pt idx="13">
                        <c:v>3.5</c:v>
                      </c:pt>
                      <c:pt idx="14">
                        <c:v>4</c:v>
                      </c:pt>
                      <c:pt idx="15">
                        <c:v>4.5</c:v>
                      </c:pt>
                      <c:pt idx="16">
                        <c:v>5</c:v>
                      </c:pt>
                    </c:numCache>
                  </c:numRef>
                </c:xVal>
                <c:yVal>
                  <c:numRef>
                    <c:extLst xmlns:c16r2="http://schemas.microsoft.com/office/drawing/2015/06/chart">
                      <c:ext uri="{02D57815-91ED-43cb-92C2-25804820EDAC}">
                        <c15:formulaRef>
                          <c15:sqref>'По радиусу'!$K$81:$K$97</c15:sqref>
                        </c15:formulaRef>
                      </c:ext>
                    </c:extLst>
                    <c:numCache>
                      <c:formatCode>General</c:formatCode>
                      <c:ptCount val="17"/>
                    </c:numCache>
                  </c:numRef>
                </c:yVal>
                <c:smooth val="1"/>
                <c:extLst xmlns:c16r2="http://schemas.microsoft.com/office/drawing/2015/06/chart">
                  <c:ext xmlns:c16="http://schemas.microsoft.com/office/drawing/2014/chart" uri="{C3380CC4-5D6E-409C-BE32-E72D297353CC}">
                    <c16:uniqueId val="{00000003-033C-4287-BFE7-885A4691DE52}"/>
                  </c:ext>
                </c:extLst>
              </c15:ser>
            </c15:filteredScatterSeries>
          </c:ext>
        </c:extLst>
      </c:scatterChart>
      <c:valAx>
        <c:axId val="565636432"/>
        <c:scaling>
          <c:orientation val="minMax"/>
          <c:max val="5"/>
          <c:min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lgn="ctr" rtl="0">
                  <a:defRPr lang="ru-RU"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0" i="0" u="none" strike="noStrike" kern="1200" spc="0" baseline="0" dirty="0">
                    <a:solidFill>
                      <a:sysClr val="windowText" lastClr="000000"/>
                    </a:solidFill>
                    <a:latin typeface="Times New Roman" panose="02020603050405020304" pitchFamily="18" charset="0"/>
                    <a:ea typeface="+mn-ea"/>
                    <a:cs typeface="Times New Roman" panose="02020603050405020304" pitchFamily="18" charset="0"/>
                  </a:rPr>
                  <a:t>Radius, cm</a:t>
                </a:r>
                <a:endParaRPr lang="ru-RU" sz="1100" b="0" i="0" u="none" strike="noStrike" kern="1200" spc="0" baseline="0" dirty="0">
                  <a:solidFill>
                    <a:sysClr val="windowText" lastClr="000000"/>
                  </a:solidFill>
                  <a:latin typeface="Times New Roman" panose="02020603050405020304" pitchFamily="18" charset="0"/>
                  <a:ea typeface="+mn-ea"/>
                  <a:cs typeface="Times New Roman" panose="02020603050405020304" pitchFamily="18" charset="0"/>
                </a:endParaRPr>
              </a:p>
            </c:rich>
          </c:tx>
          <c:layout>
            <c:manualLayout>
              <c:xMode val="edge"/>
              <c:yMode val="edge"/>
              <c:x val="0.37145422975974179"/>
              <c:y val="0.7872006355288676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lgn="ctr" rtl="0">
              <a:defRPr lang="ru-RU"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65636824"/>
        <c:crosses val="autoZero"/>
        <c:crossBetween val="midCat"/>
        <c:majorUnit val="1"/>
      </c:valAx>
      <c:valAx>
        <c:axId val="565636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lgn="ctr" rtl="0">
              <a:defRPr lang="ru-RU"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65636432"/>
        <c:crossesAt val="0"/>
        <c:crossBetween val="midCat"/>
      </c:valAx>
      <c:spPr>
        <a:noFill/>
        <a:ln>
          <a:noFill/>
        </a:ln>
        <a:effectLst/>
      </c:spPr>
    </c:plotArea>
    <c:legend>
      <c:legendPos val="b"/>
      <c:layout>
        <c:manualLayout>
          <c:xMode val="edge"/>
          <c:yMode val="edge"/>
          <c:x val="0.1107692307692308"/>
          <c:y val="0.8612453561999116"/>
          <c:w val="0.79487179487179482"/>
          <c:h val="0.1387546438000887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0" i="0" baseline="0">
                <a:solidFill>
                  <a:sysClr val="windowText" lastClr="000000"/>
                </a:solidFill>
                <a:effectLst/>
                <a:latin typeface="Times New Roman" panose="02020603050405020304" pitchFamily="18" charset="0"/>
                <a:cs typeface="Times New Roman" panose="02020603050405020304" pitchFamily="18" charset="0"/>
              </a:rPr>
              <a:t>Plasma density</a:t>
            </a:r>
            <a:r>
              <a:rPr lang="ru-RU" sz="1100" b="0" i="0" baseline="0">
                <a:solidFill>
                  <a:sysClr val="windowText" lastClr="000000"/>
                </a:solidFill>
                <a:effectLst/>
                <a:latin typeface="Times New Roman" panose="02020603050405020304" pitchFamily="18" charset="0"/>
                <a:cs typeface="Times New Roman" panose="02020603050405020304" pitchFamily="18" charset="0"/>
              </a:rPr>
              <a:t> 10</a:t>
            </a:r>
            <a:r>
              <a:rPr lang="ru-RU" sz="1100" b="0" i="0" baseline="30000">
                <a:solidFill>
                  <a:sysClr val="windowText" lastClr="000000"/>
                </a:solidFill>
                <a:effectLst/>
                <a:latin typeface="Times New Roman" panose="02020603050405020304" pitchFamily="18" charset="0"/>
                <a:cs typeface="Times New Roman" panose="02020603050405020304" pitchFamily="18" charset="0"/>
              </a:rPr>
              <a:t>12</a:t>
            </a:r>
            <a:r>
              <a:rPr lang="ru-RU" sz="1100" b="0" i="0" baseline="0">
                <a:solidFill>
                  <a:sysClr val="windowText" lastClr="000000"/>
                </a:solidFill>
                <a:effectLst/>
                <a:latin typeface="Times New Roman" panose="02020603050405020304" pitchFamily="18" charset="0"/>
                <a:cs typeface="Times New Roman" panose="02020603050405020304" pitchFamily="18" charset="0"/>
              </a:rPr>
              <a:t>, </a:t>
            </a:r>
            <a:r>
              <a:rPr lang="en-US" sz="1100" b="0" i="0" baseline="0">
                <a:solidFill>
                  <a:sysClr val="windowText" lastClr="000000"/>
                </a:solidFill>
                <a:effectLst/>
                <a:latin typeface="Times New Roman" panose="02020603050405020304" pitchFamily="18" charset="0"/>
                <a:cs typeface="Times New Roman" panose="02020603050405020304" pitchFamily="18" charset="0"/>
              </a:rPr>
              <a:t>cm</a:t>
            </a:r>
            <a:r>
              <a:rPr lang="ru-RU" sz="1100" b="0" i="0" baseline="30000">
                <a:solidFill>
                  <a:sysClr val="windowText" lastClr="000000"/>
                </a:solidFill>
                <a:effectLst/>
                <a:latin typeface="Times New Roman" panose="02020603050405020304" pitchFamily="18" charset="0"/>
                <a:cs typeface="Times New Roman" panose="02020603050405020304" pitchFamily="18" charset="0"/>
              </a:rPr>
              <a:t>-3</a:t>
            </a:r>
            <a:endParaRPr lang="ru-RU" sz="1100" b="0" baseline="300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11195861995767796"/>
          <c:y val="5.7602591960871424E-4"/>
        </c:manualLayout>
      </c:layout>
      <c:overlay val="0"/>
      <c:spPr>
        <a:noFill/>
        <a:ln>
          <a:noFill/>
        </a:ln>
        <a:effectLst/>
      </c:spPr>
    </c:title>
    <c:autoTitleDeleted val="0"/>
    <c:plotArea>
      <c:layout>
        <c:manualLayout>
          <c:layoutTarget val="inner"/>
          <c:xMode val="edge"/>
          <c:yMode val="edge"/>
          <c:x val="0.11587204417447373"/>
          <c:y val="7.3647367420520998E-2"/>
          <c:w val="0.84055482349165889"/>
          <c:h val="0.64572567894888577"/>
        </c:manualLayout>
      </c:layout>
      <c:scatterChart>
        <c:scatterStyle val="smoothMarker"/>
        <c:varyColors val="0"/>
        <c:ser>
          <c:idx val="5"/>
          <c:order val="4"/>
          <c:tx>
            <c:v>Icc=4.6 А, Imcc=4.6 A</c:v>
          </c:tx>
          <c:spPr>
            <a:ln w="12700" cap="rnd">
              <a:solidFill>
                <a:schemeClr val="tx1"/>
              </a:solidFill>
              <a:round/>
            </a:ln>
            <a:effectLst/>
          </c:spPr>
          <c:marker>
            <c:symbol val="triangle"/>
            <c:size val="4"/>
            <c:spPr>
              <a:solidFill>
                <a:schemeClr val="bg1"/>
              </a:solidFill>
              <a:ln w="12700">
                <a:solidFill>
                  <a:schemeClr val="tx1"/>
                </a:solidFill>
              </a:ln>
              <a:effectLst/>
            </c:spPr>
          </c:marker>
          <c:errBars>
            <c:errDir val="x"/>
            <c:errBarType val="both"/>
            <c:errValType val="percentage"/>
            <c:noEndCap val="0"/>
            <c:val val="0"/>
            <c:spPr>
              <a:noFill/>
              <a:ln w="9525" cap="flat" cmpd="sng" algn="ctr">
                <a:solidFill>
                  <a:schemeClr val="tx1">
                    <a:lumMod val="65000"/>
                    <a:lumOff val="35000"/>
                  </a:schemeClr>
                </a:solidFill>
                <a:round/>
              </a:ln>
              <a:effectLst/>
            </c:spPr>
          </c:errBars>
          <c:errBars>
            <c:errDir val="y"/>
            <c:errBarType val="both"/>
            <c:errValType val="percentage"/>
            <c:noEndCap val="0"/>
            <c:val val="20"/>
            <c:spPr>
              <a:noFill/>
              <a:ln w="6350" cap="flat" cmpd="sng" algn="ctr">
                <a:solidFill>
                  <a:schemeClr val="tx1">
                    <a:lumMod val="65000"/>
                    <a:lumOff val="35000"/>
                  </a:schemeClr>
                </a:solidFill>
                <a:round/>
              </a:ln>
              <a:effectLst/>
            </c:spPr>
          </c:errBars>
          <c:xVal>
            <c:numRef>
              <c:f>'По давлению'!$D$64:$D$74</c:f>
              <c:numCache>
                <c:formatCode>General</c:formatCode>
                <c:ptCount val="11"/>
                <c:pt idx="0">
                  <c:v>0.3000000000000001</c:v>
                </c:pt>
                <c:pt idx="1">
                  <c:v>0.5</c:v>
                </c:pt>
                <c:pt idx="2">
                  <c:v>0.9</c:v>
                </c:pt>
                <c:pt idx="3">
                  <c:v>1.1000000000000001</c:v>
                </c:pt>
                <c:pt idx="4">
                  <c:v>1.3</c:v>
                </c:pt>
                <c:pt idx="5">
                  <c:v>1.5</c:v>
                </c:pt>
                <c:pt idx="6">
                  <c:v>2</c:v>
                </c:pt>
                <c:pt idx="7">
                  <c:v>2.5</c:v>
                </c:pt>
                <c:pt idx="8">
                  <c:v>3.5</c:v>
                </c:pt>
                <c:pt idx="9">
                  <c:v>4</c:v>
                </c:pt>
                <c:pt idx="10">
                  <c:v>4.5</c:v>
                </c:pt>
              </c:numCache>
            </c:numRef>
          </c:xVal>
          <c:yVal>
            <c:numRef>
              <c:f>'По давлению'!$I$64:$I$74</c:f>
              <c:numCache>
                <c:formatCode>General</c:formatCode>
                <c:ptCount val="11"/>
                <c:pt idx="0">
                  <c:v>0.27100635925400973</c:v>
                </c:pt>
                <c:pt idx="1">
                  <c:v>0.33329664455043184</c:v>
                </c:pt>
                <c:pt idx="2">
                  <c:v>0.30409023755374442</c:v>
                </c:pt>
                <c:pt idx="3">
                  <c:v>0.30703888321329231</c:v>
                </c:pt>
                <c:pt idx="4">
                  <c:v>0.30580826149472623</c:v>
                </c:pt>
                <c:pt idx="5">
                  <c:v>0.34811899391618761</c:v>
                </c:pt>
                <c:pt idx="6">
                  <c:v>0.43667911165952589</c:v>
                </c:pt>
                <c:pt idx="7">
                  <c:v>0.5064931351555596</c:v>
                </c:pt>
                <c:pt idx="8">
                  <c:v>0.58647484940836048</c:v>
                </c:pt>
                <c:pt idx="9">
                  <c:v>0.57637721803850073</c:v>
                </c:pt>
                <c:pt idx="10">
                  <c:v>0.53843738435204991</c:v>
                </c:pt>
              </c:numCache>
            </c:numRef>
          </c:yVal>
          <c:smooth val="1"/>
          <c:extLst xmlns:c16r2="http://schemas.microsoft.com/office/drawing/2015/06/chart">
            <c:ext xmlns:c16="http://schemas.microsoft.com/office/drawing/2014/chart" uri="{C3380CC4-5D6E-409C-BE32-E72D297353CC}">
              <c16:uniqueId val="{00000000-05CD-4221-90CD-0A2ECFD08167}"/>
            </c:ext>
          </c:extLst>
        </c:ser>
        <c:ser>
          <c:idx val="1"/>
          <c:order val="5"/>
          <c:tx>
            <c:v>Icc=7.2 А, Imcc=-8.4 А</c:v>
          </c:tx>
          <c:spPr>
            <a:ln w="12700" cap="rnd">
              <a:solidFill>
                <a:schemeClr val="tx1"/>
              </a:solidFill>
              <a:round/>
            </a:ln>
            <a:effectLst/>
          </c:spPr>
          <c:marker>
            <c:symbol val="circle"/>
            <c:size val="3"/>
            <c:spPr>
              <a:solidFill>
                <a:schemeClr val="bg1"/>
              </a:solidFill>
              <a:ln w="12700">
                <a:solidFill>
                  <a:schemeClr val="tx1"/>
                </a:solidFill>
              </a:ln>
              <a:effectLst/>
            </c:spPr>
          </c:marker>
          <c:errBars>
            <c:errDir val="x"/>
            <c:errBarType val="both"/>
            <c:errValType val="percentage"/>
            <c:noEndCap val="0"/>
            <c:val val="0"/>
            <c:spPr>
              <a:noFill/>
              <a:ln w="9525" cap="flat" cmpd="sng" algn="ctr">
                <a:solidFill>
                  <a:schemeClr val="tx1">
                    <a:lumMod val="65000"/>
                    <a:lumOff val="35000"/>
                  </a:schemeClr>
                </a:solidFill>
                <a:round/>
              </a:ln>
              <a:effectLst/>
            </c:spPr>
          </c:errBars>
          <c:errBars>
            <c:errDir val="y"/>
            <c:errBarType val="both"/>
            <c:errValType val="percentage"/>
            <c:noEndCap val="0"/>
            <c:val val="10"/>
            <c:spPr>
              <a:noFill/>
              <a:ln w="6350" cap="flat" cmpd="sng" algn="ctr">
                <a:solidFill>
                  <a:schemeClr val="tx1">
                    <a:lumMod val="65000"/>
                    <a:lumOff val="35000"/>
                  </a:schemeClr>
                </a:solidFill>
                <a:round/>
              </a:ln>
              <a:effectLst/>
            </c:spPr>
          </c:errBars>
          <c:xVal>
            <c:numRef>
              <c:f>'По давлению'!$D$50:$D$63</c:f>
              <c:numCache>
                <c:formatCode>General</c:formatCode>
                <c:ptCount val="14"/>
                <c:pt idx="0">
                  <c:v>0.1</c:v>
                </c:pt>
                <c:pt idx="1">
                  <c:v>0.3000000000000001</c:v>
                </c:pt>
                <c:pt idx="2">
                  <c:v>0.70000000000000018</c:v>
                </c:pt>
                <c:pt idx="3">
                  <c:v>0.8</c:v>
                </c:pt>
                <c:pt idx="4">
                  <c:v>0.9</c:v>
                </c:pt>
                <c:pt idx="5">
                  <c:v>1</c:v>
                </c:pt>
                <c:pt idx="6">
                  <c:v>1.1000000000000001</c:v>
                </c:pt>
                <c:pt idx="7">
                  <c:v>1.2</c:v>
                </c:pt>
                <c:pt idx="8">
                  <c:v>1.3</c:v>
                </c:pt>
                <c:pt idx="9">
                  <c:v>1.4</c:v>
                </c:pt>
                <c:pt idx="10">
                  <c:v>1.8</c:v>
                </c:pt>
                <c:pt idx="11">
                  <c:v>2.5</c:v>
                </c:pt>
                <c:pt idx="12">
                  <c:v>3.5</c:v>
                </c:pt>
                <c:pt idx="13">
                  <c:v>4.5</c:v>
                </c:pt>
              </c:numCache>
            </c:numRef>
          </c:xVal>
          <c:yVal>
            <c:numRef>
              <c:f>'По давлению'!$I$50:$I$63</c:f>
              <c:numCache>
                <c:formatCode>General</c:formatCode>
                <c:ptCount val="14"/>
                <c:pt idx="0">
                  <c:v>0.86382440013681883</c:v>
                </c:pt>
                <c:pt idx="1">
                  <c:v>1.0091366941950104</c:v>
                </c:pt>
                <c:pt idx="2">
                  <c:v>1.3030267081002536</c:v>
                </c:pt>
                <c:pt idx="3">
                  <c:v>1.3388747926560376</c:v>
                </c:pt>
                <c:pt idx="4">
                  <c:v>1.3736390007371353</c:v>
                </c:pt>
                <c:pt idx="5">
                  <c:v>1.4117034874720642</c:v>
                </c:pt>
                <c:pt idx="6">
                  <c:v>1.4345974431557582</c:v>
                </c:pt>
                <c:pt idx="7">
                  <c:v>1.4499960679556791</c:v>
                </c:pt>
                <c:pt idx="8">
                  <c:v>1.4656864391476672</c:v>
                </c:pt>
                <c:pt idx="9">
                  <c:v>1.4825017476728106</c:v>
                </c:pt>
                <c:pt idx="10">
                  <c:v>1.6111346256792982</c:v>
                </c:pt>
                <c:pt idx="11">
                  <c:v>1.8146566907254247</c:v>
                </c:pt>
                <c:pt idx="12">
                  <c:v>2.0061784554814119</c:v>
                </c:pt>
                <c:pt idx="13">
                  <c:v>1.8261118778167367</c:v>
                </c:pt>
              </c:numCache>
            </c:numRef>
          </c:yVal>
          <c:smooth val="1"/>
          <c:extLst xmlns:c16r2="http://schemas.microsoft.com/office/drawing/2015/06/chart">
            <c:ext xmlns:c16="http://schemas.microsoft.com/office/drawing/2014/chart" uri="{C3380CC4-5D6E-409C-BE32-E72D297353CC}">
              <c16:uniqueId val="{00000001-05CD-4221-90CD-0A2ECFD08167}"/>
            </c:ext>
          </c:extLst>
        </c:ser>
        <c:ser>
          <c:idx val="6"/>
          <c:order val="6"/>
          <c:tx>
            <c:v>Icc=7.9 А, Imcc=-16.2 А</c:v>
          </c:tx>
          <c:spPr>
            <a:ln w="12700" cap="rnd">
              <a:solidFill>
                <a:schemeClr val="tx1"/>
              </a:solidFill>
              <a:round/>
            </a:ln>
            <a:effectLst/>
          </c:spPr>
          <c:marker>
            <c:symbol val="square"/>
            <c:size val="3"/>
            <c:spPr>
              <a:solidFill>
                <a:schemeClr val="bg1"/>
              </a:solidFill>
              <a:ln w="12700">
                <a:solidFill>
                  <a:schemeClr val="tx1"/>
                </a:solidFill>
              </a:ln>
              <a:effectLst/>
            </c:spPr>
          </c:marker>
          <c:errBars>
            <c:errDir val="x"/>
            <c:errBarType val="both"/>
            <c:errValType val="percentage"/>
            <c:noEndCap val="0"/>
            <c:val val="0"/>
            <c:spPr>
              <a:noFill/>
              <a:ln w="9525" cap="flat" cmpd="sng" algn="ctr">
                <a:solidFill>
                  <a:schemeClr val="tx1">
                    <a:lumMod val="65000"/>
                    <a:lumOff val="35000"/>
                  </a:schemeClr>
                </a:solidFill>
                <a:round/>
              </a:ln>
              <a:effectLst/>
            </c:spPr>
          </c:errBars>
          <c:errBars>
            <c:errDir val="y"/>
            <c:errBarType val="both"/>
            <c:errValType val="percentage"/>
            <c:noEndCap val="0"/>
            <c:val val="10"/>
            <c:spPr>
              <a:noFill/>
              <a:ln w="6350" cap="flat" cmpd="sng" algn="ctr">
                <a:solidFill>
                  <a:schemeClr val="tx1">
                    <a:lumMod val="65000"/>
                    <a:lumOff val="35000"/>
                  </a:schemeClr>
                </a:solidFill>
                <a:round/>
              </a:ln>
              <a:effectLst/>
            </c:spPr>
          </c:errBars>
          <c:xVal>
            <c:numRef>
              <c:f>'По давлению'!$D$75:$D$82</c:f>
              <c:numCache>
                <c:formatCode>General</c:formatCode>
                <c:ptCount val="8"/>
                <c:pt idx="0">
                  <c:v>0.3000000000000001</c:v>
                </c:pt>
                <c:pt idx="1">
                  <c:v>0.70000000000000018</c:v>
                </c:pt>
                <c:pt idx="2">
                  <c:v>1.5</c:v>
                </c:pt>
                <c:pt idx="3">
                  <c:v>2</c:v>
                </c:pt>
                <c:pt idx="4">
                  <c:v>3</c:v>
                </c:pt>
                <c:pt idx="5">
                  <c:v>3.5</c:v>
                </c:pt>
                <c:pt idx="6">
                  <c:v>4</c:v>
                </c:pt>
                <c:pt idx="7">
                  <c:v>4.7</c:v>
                </c:pt>
              </c:numCache>
            </c:numRef>
          </c:xVal>
          <c:yVal>
            <c:numRef>
              <c:f>'По давлению'!$I$75:$I$82</c:f>
              <c:numCache>
                <c:formatCode>General</c:formatCode>
                <c:ptCount val="8"/>
                <c:pt idx="0">
                  <c:v>1.9632461195387605</c:v>
                </c:pt>
                <c:pt idx="1">
                  <c:v>2.3583913827648169</c:v>
                </c:pt>
                <c:pt idx="2">
                  <c:v>2.7140126995827738</c:v>
                </c:pt>
                <c:pt idx="3">
                  <c:v>3.0410857838797907</c:v>
                </c:pt>
                <c:pt idx="4">
                  <c:v>3.4789984804877543</c:v>
                </c:pt>
                <c:pt idx="5">
                  <c:v>3.5930941803759961</c:v>
                </c:pt>
                <c:pt idx="6">
                  <c:v>3.8110380604467813</c:v>
                </c:pt>
                <c:pt idx="7">
                  <c:v>3.8954255163352931</c:v>
                </c:pt>
              </c:numCache>
            </c:numRef>
          </c:yVal>
          <c:smooth val="1"/>
          <c:extLst xmlns:c16r2="http://schemas.microsoft.com/office/drawing/2015/06/chart">
            <c:ext xmlns:c16="http://schemas.microsoft.com/office/drawing/2014/chart" uri="{C3380CC4-5D6E-409C-BE32-E72D297353CC}">
              <c16:uniqueId val="{00000002-05CD-4221-90CD-0A2ECFD08167}"/>
            </c:ext>
          </c:extLst>
        </c:ser>
        <c:dLbls>
          <c:showLegendKey val="0"/>
          <c:showVal val="0"/>
          <c:showCatName val="0"/>
          <c:showSerName val="0"/>
          <c:showPercent val="0"/>
          <c:showBubbleSize val="0"/>
        </c:dLbls>
        <c:axId val="421090920"/>
        <c:axId val="421091704"/>
        <c:extLst xmlns:c16r2="http://schemas.microsoft.com/office/drawing/2015/06/chart">
          <c:ext xmlns:c15="http://schemas.microsoft.com/office/drawing/2012/chart" uri="{02D57815-91ED-43cb-92C2-25804820EDAC}">
            <c15:filteredScatterSeries>
              <c15:ser>
                <c:idx val="0"/>
                <c:order val="0"/>
                <c:tx>
                  <c:v>Поле  0,6 В, -8.4 А</c:v>
                </c:tx>
                <c:spPr>
                  <a:ln w="47625" cap="rnd">
                    <a:solidFill>
                      <a:schemeClr val="accent1"/>
                    </a:solidFill>
                    <a:round/>
                  </a:ln>
                  <a:effectLst/>
                </c:spPr>
                <c:marker>
                  <c:symbol val="circle"/>
                  <c:size val="5"/>
                  <c:spPr>
                    <a:solidFill>
                      <a:schemeClr val="accent1"/>
                    </a:solidFill>
                    <a:ln w="47625">
                      <a:solidFill>
                        <a:schemeClr val="accent1"/>
                      </a:solidFill>
                    </a:ln>
                    <a:effectLst/>
                  </c:spPr>
                </c:marker>
                <c:xVal>
                  <c:numRef>
                    <c:extLst xmlns:c16r2="http://schemas.microsoft.com/office/drawing/2015/06/chart">
                      <c:ext uri="{02D57815-91ED-43cb-92C2-25804820EDAC}">
                        <c15:formulaRef>
                          <c15:sqref>'По давлению'!$D$2:$D$14</c15:sqref>
                        </c15:formulaRef>
                      </c:ext>
                    </c:extLst>
                    <c:numCache>
                      <c:formatCode>General</c:formatCode>
                      <c:ptCount val="13"/>
                      <c:pt idx="0">
                        <c:v>0.1</c:v>
                      </c:pt>
                      <c:pt idx="1">
                        <c:v>0.2</c:v>
                      </c:pt>
                      <c:pt idx="2">
                        <c:v>0.4</c:v>
                      </c:pt>
                      <c:pt idx="3">
                        <c:v>0.6</c:v>
                      </c:pt>
                      <c:pt idx="4">
                        <c:v>0.8</c:v>
                      </c:pt>
                      <c:pt idx="5">
                        <c:v>1</c:v>
                      </c:pt>
                      <c:pt idx="6">
                        <c:v>1.3</c:v>
                      </c:pt>
                      <c:pt idx="7">
                        <c:v>1.5</c:v>
                      </c:pt>
                      <c:pt idx="8">
                        <c:v>1.8</c:v>
                      </c:pt>
                      <c:pt idx="9">
                        <c:v>2.2000000000000002</c:v>
                      </c:pt>
                      <c:pt idx="10">
                        <c:v>3</c:v>
                      </c:pt>
                      <c:pt idx="11">
                        <c:v>4</c:v>
                      </c:pt>
                      <c:pt idx="12">
                        <c:v>4.9000000000000004</c:v>
                      </c:pt>
                    </c:numCache>
                  </c:numRef>
                </c:xVal>
                <c:yVal>
                  <c:numRef>
                    <c:extLst xmlns:c16r2="http://schemas.microsoft.com/office/drawing/2015/06/chart">
                      <c:ext uri="{02D57815-91ED-43cb-92C2-25804820EDAC}">
                        <c15:formulaRef>
                          <c15:sqref>'По давлению'!$I$2:$I$14</c15:sqref>
                        </c15:formulaRef>
                      </c:ext>
                    </c:extLst>
                    <c:numCache>
                      <c:formatCode>General</c:formatCode>
                      <c:ptCount val="13"/>
                      <c:pt idx="0">
                        <c:v>0.86730178351336007</c:v>
                      </c:pt>
                      <c:pt idx="1">
                        <c:v>0.91686477894205165</c:v>
                      </c:pt>
                      <c:pt idx="2">
                        <c:v>0.958706555612864</c:v>
                      </c:pt>
                      <c:pt idx="3">
                        <c:v>0.99440635523514564</c:v>
                      </c:pt>
                      <c:pt idx="4">
                        <c:v>1.0111172355262177</c:v>
                      </c:pt>
                      <c:pt idx="5">
                        <c:v>1.0206115023701341</c:v>
                      </c:pt>
                      <c:pt idx="6">
                        <c:v>1.0238516732063403</c:v>
                      </c:pt>
                      <c:pt idx="7">
                        <c:v>1.0218455671704219</c:v>
                      </c:pt>
                      <c:pt idx="8">
                        <c:v>1.0164281802372581</c:v>
                      </c:pt>
                      <c:pt idx="9">
                        <c:v>1.0064956208790405</c:v>
                      </c:pt>
                      <c:pt idx="10">
                        <c:v>0.96822422851623302</c:v>
                      </c:pt>
                      <c:pt idx="11">
                        <c:v>0.92383225787323631</c:v>
                      </c:pt>
                      <c:pt idx="12">
                        <c:v>0.89147502837268766</c:v>
                      </c:pt>
                    </c:numCache>
                  </c:numRef>
                </c:yVal>
                <c:smooth val="1"/>
                <c:extLst xmlns:c16r2="http://schemas.microsoft.com/office/drawing/2015/06/chart">
                  <c:ext xmlns:c16="http://schemas.microsoft.com/office/drawing/2014/chart" uri="{C3380CC4-5D6E-409C-BE32-E72D297353CC}">
                    <c16:uniqueId val="{00000003-05CD-4221-90CD-0A2ECFD08167}"/>
                  </c:ext>
                </c:extLst>
              </c15:ser>
            </c15:filteredScatterSeries>
            <c15:filteredScatterSeries>
              <c15:ser>
                <c:idx val="2"/>
                <c:order val="1"/>
                <c:tx>
                  <c:v>Поле 0.9 В -8.4 А</c:v>
                </c:tx>
                <c:spPr>
                  <a:ln w="47625" cap="rnd">
                    <a:solidFill>
                      <a:schemeClr val="accent3"/>
                    </a:solidFill>
                    <a:round/>
                  </a:ln>
                  <a:effectLst/>
                </c:spPr>
                <c:marker>
                  <c:symbol val="circle"/>
                  <c:size val="5"/>
                  <c:spPr>
                    <a:solidFill>
                      <a:schemeClr val="accent3"/>
                    </a:solidFill>
                    <a:ln w="47625">
                      <a:solidFill>
                        <a:schemeClr val="accent3"/>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'По давлению'!$D$15:$D$28</c15:sqref>
                        </c15:formulaRef>
                      </c:ext>
                    </c:extLst>
                    <c:numCache>
                      <c:formatCode>General</c:formatCode>
                      <c:ptCount val="14"/>
                      <c:pt idx="0">
                        <c:v>0.1</c:v>
                      </c:pt>
                      <c:pt idx="1">
                        <c:v>0.3</c:v>
                      </c:pt>
                      <c:pt idx="2">
                        <c:v>0.5</c:v>
                      </c:pt>
                      <c:pt idx="3">
                        <c:v>0.6</c:v>
                      </c:pt>
                      <c:pt idx="4">
                        <c:v>0.75</c:v>
                      </c:pt>
                      <c:pt idx="5">
                        <c:v>0.9</c:v>
                      </c:pt>
                      <c:pt idx="6">
                        <c:v>1.1000000000000001</c:v>
                      </c:pt>
                      <c:pt idx="7">
                        <c:v>1.5</c:v>
                      </c:pt>
                      <c:pt idx="8">
                        <c:v>1.8</c:v>
                      </c:pt>
                      <c:pt idx="9">
                        <c:v>2</c:v>
                      </c:pt>
                      <c:pt idx="10">
                        <c:v>2.2999999999999998</c:v>
                      </c:pt>
                      <c:pt idx="11">
                        <c:v>2.8</c:v>
                      </c:pt>
                      <c:pt idx="12">
                        <c:v>3.5</c:v>
                      </c:pt>
                      <c:pt idx="13">
                        <c:v>4.5</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'По давлению'!$I$15:$I$28</c15:sqref>
                        </c15:formulaRef>
                      </c:ext>
                    </c:extLst>
                    <c:numCache>
                      <c:formatCode>General</c:formatCode>
                      <c:ptCount val="14"/>
                      <c:pt idx="0">
                        <c:v>0.84186967452947081</c:v>
                      </c:pt>
                      <c:pt idx="1">
                        <c:v>0.88120937894673601</c:v>
                      </c:pt>
                      <c:pt idx="2">
                        <c:v>0.92201032334613808</c:v>
                      </c:pt>
                      <c:pt idx="3">
                        <c:v>0.94439783675587774</c:v>
                      </c:pt>
                      <c:pt idx="4">
                        <c:v>0.95240120825380881</c:v>
                      </c:pt>
                      <c:pt idx="5">
                        <c:v>0.94769417430610015</c:v>
                      </c:pt>
                      <c:pt idx="6">
                        <c:v>0.94494125776886984</c:v>
                      </c:pt>
                      <c:pt idx="7">
                        <c:v>0.94341020306451628</c:v>
                      </c:pt>
                      <c:pt idx="8">
                        <c:v>0.92404411460218816</c:v>
                      </c:pt>
                      <c:pt idx="9">
                        <c:v>0.90060635241998743</c:v>
                      </c:pt>
                      <c:pt idx="10">
                        <c:v>0.86596764655768033</c:v>
                      </c:pt>
                      <c:pt idx="11">
                        <c:v>0.80790575022893441</c:v>
                      </c:pt>
                      <c:pt idx="12">
                        <c:v>0.73170337706222288</c:v>
                      </c:pt>
                      <c:pt idx="13">
                        <c:v>0.67208361160944585</c:v>
                      </c:pt>
                    </c:numCache>
                  </c:numRef>
                </c:yVal>
                <c:smooth val="1"/>
                <c:extLst xmlns:c15="http://schemas.microsoft.com/office/drawing/2012/chart" xmlns:c16r2="http://schemas.microsoft.com/office/drawing/2015/06/chart">
                  <c:ext xmlns:c16="http://schemas.microsoft.com/office/drawing/2014/chart" uri="{C3380CC4-5D6E-409C-BE32-E72D297353CC}">
                    <c16:uniqueId val="{00000004-05CD-4221-90CD-0A2ECFD08167}"/>
                  </c:ext>
                </c:extLst>
              </c15:ser>
            </c15:filteredScatterSeries>
            <c15:filteredScatterSeries>
              <c15:ser>
                <c:idx val="3"/>
                <c:order val="2"/>
                <c:tx>
                  <c:v>Поле 0.9 В -4 А</c:v>
                </c:tx>
                <c:spPr>
                  <a:ln w="47625" cap="rnd">
                    <a:solidFill>
                      <a:schemeClr val="accent4"/>
                    </a:solidFill>
                    <a:round/>
                  </a:ln>
                  <a:effectLst/>
                </c:spPr>
                <c:marker>
                  <c:symbol val="circle"/>
                  <c:size val="5"/>
                  <c:spPr>
                    <a:solidFill>
                      <a:schemeClr val="accent4"/>
                    </a:solidFill>
                    <a:ln w="47625">
                      <a:solidFill>
                        <a:schemeClr val="accent4"/>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'По давлению'!$D$29:$D$38</c15:sqref>
                        </c15:formulaRef>
                      </c:ext>
                    </c:extLst>
                    <c:numCache>
                      <c:formatCode>General</c:formatCode>
                      <c:ptCount val="10"/>
                      <c:pt idx="0">
                        <c:v>0.1</c:v>
                      </c:pt>
                      <c:pt idx="1">
                        <c:v>0.3</c:v>
                      </c:pt>
                      <c:pt idx="2">
                        <c:v>0.6</c:v>
                      </c:pt>
                      <c:pt idx="3">
                        <c:v>0.75</c:v>
                      </c:pt>
                      <c:pt idx="4">
                        <c:v>0.9</c:v>
                      </c:pt>
                      <c:pt idx="5">
                        <c:v>1.1000000000000001</c:v>
                      </c:pt>
                      <c:pt idx="6">
                        <c:v>1.5</c:v>
                      </c:pt>
                      <c:pt idx="7">
                        <c:v>2</c:v>
                      </c:pt>
                      <c:pt idx="8">
                        <c:v>3</c:v>
                      </c:pt>
                      <c:pt idx="9">
                        <c:v>4.5</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'По давлению'!$I$29:$I$38</c15:sqref>
                        </c15:formulaRef>
                      </c:ext>
                    </c:extLst>
                    <c:numCache>
                      <c:formatCode>General</c:formatCode>
                      <c:ptCount val="10"/>
                      <c:pt idx="0">
                        <c:v>0.44670253987426928</c:v>
                      </c:pt>
                      <c:pt idx="1">
                        <c:v>0.56087350483615206</c:v>
                      </c:pt>
                      <c:pt idx="2">
                        <c:v>0.6408160584526833</c:v>
                      </c:pt>
                      <c:pt idx="3">
                        <c:v>0.72394895252222069</c:v>
                      </c:pt>
                      <c:pt idx="4">
                        <c:v>0.75936658191387019</c:v>
                      </c:pt>
                      <c:pt idx="5">
                        <c:v>0.85571516097184352</c:v>
                      </c:pt>
                      <c:pt idx="6">
                        <c:v>0.78372630460704107</c:v>
                      </c:pt>
                      <c:pt idx="7">
                        <c:v>0.69269076284557296</c:v>
                      </c:pt>
                      <c:pt idx="8">
                        <c:v>0.51948161077627897</c:v>
                      </c:pt>
                      <c:pt idx="9">
                        <c:v>0.48094743764808284</c:v>
                      </c:pt>
                    </c:numCache>
                  </c:numRef>
                </c:yVal>
                <c:smooth val="1"/>
                <c:extLst xmlns:c15="http://schemas.microsoft.com/office/drawing/2012/chart" xmlns:c16r2="http://schemas.microsoft.com/office/drawing/2015/06/chart">
                  <c:ext xmlns:c16="http://schemas.microsoft.com/office/drawing/2014/chart" uri="{C3380CC4-5D6E-409C-BE32-E72D297353CC}">
                    <c16:uniqueId val="{00000005-05CD-4221-90CD-0A2ECFD08167}"/>
                  </c:ext>
                </c:extLst>
              </c15:ser>
            </c15:filteredScatterSeries>
            <c15:filteredScatterSeries>
              <c15:ser>
                <c:idx val="4"/>
                <c:order val="3"/>
                <c:tx>
                  <c:v>Поле 1.2 В -8.4 А</c:v>
                </c:tx>
                <c:spPr>
                  <a:ln w="47625" cap="rnd">
                    <a:solidFill>
                      <a:srgbClr val="FFC000"/>
                    </a:solidFill>
                    <a:round/>
                  </a:ln>
                  <a:effectLst/>
                </c:spPr>
                <c:marker>
                  <c:symbol val="circle"/>
                  <c:size val="5"/>
                  <c:spPr>
                    <a:solidFill>
                      <a:schemeClr val="accent5"/>
                    </a:solidFill>
                    <a:ln w="47625">
                      <a:solidFill>
                        <a:srgbClr val="FFC000"/>
                      </a:solidFill>
                    </a:ln>
                    <a:effectLst/>
                  </c:spPr>
                </c:marker>
                <c:errBars>
                  <c:errDir val="x"/>
                  <c:errBarType val="both"/>
                  <c:errValType val="percentage"/>
                  <c:noEndCap val="0"/>
                  <c:val val="0"/>
                  <c:spPr>
                    <a:noFill/>
                    <a:ln w="9525" cap="flat" cmpd="sng" algn="ctr">
                      <a:solidFill>
                        <a:schemeClr val="tx1">
                          <a:lumMod val="65000"/>
                          <a:lumOff val="35000"/>
                        </a:schemeClr>
                      </a:solidFill>
                      <a:round/>
                    </a:ln>
                    <a:effectLst/>
                  </c:spPr>
                </c:errBars>
                <c:errBars>
                  <c:errDir val="y"/>
                  <c:errBarType val="both"/>
                  <c:errValType val="percentage"/>
                  <c:noEndCap val="0"/>
                  <c:val val="15"/>
                  <c:spPr>
                    <a:noFill/>
                    <a:ln w="9525" cap="flat" cmpd="sng" algn="ctr">
                      <a:solidFill>
                        <a:schemeClr val="tx1">
                          <a:lumMod val="65000"/>
                          <a:lumOff val="35000"/>
                        </a:schemeClr>
                      </a:solidFill>
                      <a:round/>
                    </a:ln>
                    <a:effectLst/>
                  </c:spPr>
                </c:errBars>
                <c:xVal>
                  <c:numRef>
                    <c:extLst xmlns:c15="http://schemas.microsoft.com/office/drawing/2012/chart" xmlns:c16r2="http://schemas.microsoft.com/office/drawing/2015/06/chart">
                      <c:ext xmlns:c15="http://schemas.microsoft.com/office/drawing/2012/chart" uri="{02D57815-91ED-43cb-92C2-25804820EDAC}">
                        <c15:formulaRef>
                          <c15:sqref>'По давлению'!$D$39:$D$49</c15:sqref>
                        </c15:formulaRef>
                      </c:ext>
                    </c:extLst>
                    <c:numCache>
                      <c:formatCode>General</c:formatCode>
                      <c:ptCount val="11"/>
                      <c:pt idx="0">
                        <c:v>0.3</c:v>
                      </c:pt>
                      <c:pt idx="1">
                        <c:v>0.7</c:v>
                      </c:pt>
                      <c:pt idx="2">
                        <c:v>0.9</c:v>
                      </c:pt>
                      <c:pt idx="3">
                        <c:v>1</c:v>
                      </c:pt>
                      <c:pt idx="4">
                        <c:v>1.1000000000000001</c:v>
                      </c:pt>
                      <c:pt idx="5">
                        <c:v>1.4</c:v>
                      </c:pt>
                      <c:pt idx="6">
                        <c:v>1.8</c:v>
                      </c:pt>
                      <c:pt idx="7">
                        <c:v>2</c:v>
                      </c:pt>
                      <c:pt idx="8">
                        <c:v>2.5</c:v>
                      </c:pt>
                      <c:pt idx="9">
                        <c:v>3</c:v>
                      </c:pt>
                      <c:pt idx="10">
                        <c:v>5</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'По давлению'!$I$39:$I$49</c15:sqref>
                        </c15:formulaRef>
                      </c:ext>
                    </c:extLst>
                    <c:numCache>
                      <c:formatCode>General</c:formatCode>
                      <c:ptCount val="11"/>
                      <c:pt idx="0">
                        <c:v>0.55201765301539607</c:v>
                      </c:pt>
                      <c:pt idx="1">
                        <c:v>0.72290362845548484</c:v>
                      </c:pt>
                      <c:pt idx="2">
                        <c:v>0.71345604138631735</c:v>
                      </c:pt>
                      <c:pt idx="3">
                        <c:v>0.78678088872849106</c:v>
                      </c:pt>
                      <c:pt idx="4">
                        <c:v>0.78181602486015211</c:v>
                      </c:pt>
                      <c:pt idx="5">
                        <c:v>0.85130767163100662</c:v>
                      </c:pt>
                      <c:pt idx="6">
                        <c:v>0.88344372181077135</c:v>
                      </c:pt>
                      <c:pt idx="7">
                        <c:v>0.87351108678613143</c:v>
                      </c:pt>
                      <c:pt idx="8">
                        <c:v>0.77100542994394594</c:v>
                      </c:pt>
                      <c:pt idx="9">
                        <c:v>0.60818925990507311</c:v>
                      </c:pt>
                      <c:pt idx="10">
                        <c:v>0.39494270621732802</c:v>
                      </c:pt>
                    </c:numCache>
                  </c:numRef>
                </c:yVal>
                <c:smooth val="1"/>
                <c:extLst xmlns:c15="http://schemas.microsoft.com/office/drawing/2012/chart" xmlns:c16r2="http://schemas.microsoft.com/office/drawing/2015/06/chart">
                  <c:ext xmlns:c16="http://schemas.microsoft.com/office/drawing/2014/chart" uri="{C3380CC4-5D6E-409C-BE32-E72D297353CC}">
                    <c16:uniqueId val="{00000006-05CD-4221-90CD-0A2ECFD08167}"/>
                  </c:ext>
                </c:extLst>
              </c15:ser>
            </c15:filteredScatterSeries>
          </c:ext>
        </c:extLst>
      </c:scatterChart>
      <c:valAx>
        <c:axId val="421090920"/>
        <c:scaling>
          <c:orientation val="minMax"/>
          <c:max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lgn="ct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0">
                    <a:solidFill>
                      <a:sysClr val="windowText" lastClr="000000"/>
                    </a:solidFill>
                    <a:latin typeface="Times New Roman" panose="02020603050405020304" pitchFamily="18" charset="0"/>
                    <a:cs typeface="Times New Roman" panose="02020603050405020304" pitchFamily="18" charset="0"/>
                  </a:rPr>
                  <a:t>Pressure, atm</a:t>
                </a:r>
                <a:endParaRPr lang="ru-RU" sz="11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5537217493980094"/>
              <c:y val="0.7857311307896601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1091704"/>
        <c:crosses val="autoZero"/>
        <c:crossBetween val="midCat"/>
        <c:majorUnit val="1"/>
      </c:valAx>
      <c:valAx>
        <c:axId val="421091704"/>
        <c:scaling>
          <c:orientation val="minMax"/>
          <c:max val="4"/>
          <c:min val="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1090920"/>
        <c:crosses val="autoZero"/>
        <c:crossBetween val="midCat"/>
        <c:majorUnit val="0.5"/>
      </c:valAx>
      <c:spPr>
        <a:noFill/>
        <a:ln>
          <a:noFill/>
        </a:ln>
        <a:effectLst/>
      </c:spPr>
    </c:plotArea>
    <c:legend>
      <c:legendPos val="b"/>
      <c:layout>
        <c:manualLayout>
          <c:xMode val="edge"/>
          <c:yMode val="edge"/>
          <c:x val="0.20616379847150426"/>
          <c:y val="0.84638191593572176"/>
          <c:w val="0.60238027163512553"/>
          <c:h val="0.1338077722983588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0195-94E3-4D71-8FF9-83675B94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610</TotalTime>
  <Pages>4</Pages>
  <Words>1426</Words>
  <Characters>8134</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Title Goes Here</vt:lpstr>
      <vt:lpstr>Title Goes Here</vt:lpstr>
    </vt:vector>
  </TitlesOfParts>
  <Company>PPI</Company>
  <LinksUpToDate>false</LinksUpToDate>
  <CharactersWithSpaces>9541</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Shikhovtsev</dc:creator>
  <cp:lastModifiedBy>Shikhovtsev</cp:lastModifiedBy>
  <cp:revision>109</cp:revision>
  <cp:lastPrinted>2016-08-26T09:34:00Z</cp:lastPrinted>
  <dcterms:created xsi:type="dcterms:W3CDTF">2016-08-06T12:30:00Z</dcterms:created>
  <dcterms:modified xsi:type="dcterms:W3CDTF">2016-09-09T03:05:00Z</dcterms:modified>
</cp:coreProperties>
</file>