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385D" w:rsidRPr="00075EA6" w:rsidRDefault="002B2B2A" w:rsidP="004C7243">
      <w:pPr>
        <w:pStyle w:val="PaperTitle"/>
        <w:rPr>
          <w:b w:val="0"/>
          <w:bCs/>
          <w:sz w:val="24"/>
          <w:szCs w:val="24"/>
        </w:rPr>
      </w:pPr>
      <w:r>
        <w:t xml:space="preserve">H+ and D+ </w:t>
      </w:r>
      <w:r w:rsidR="0001767C">
        <w:t>H</w:t>
      </w:r>
      <w:r>
        <w:t xml:space="preserve">igh </w:t>
      </w:r>
      <w:r w:rsidR="0001767C">
        <w:t>C</w:t>
      </w:r>
      <w:r>
        <w:t xml:space="preserve">urrent </w:t>
      </w:r>
      <w:r w:rsidR="0001767C">
        <w:t>I</w:t>
      </w:r>
      <w:r>
        <w:t xml:space="preserve">on </w:t>
      </w:r>
      <w:r w:rsidR="0001767C">
        <w:t>Beams F</w:t>
      </w:r>
      <w:r>
        <w:t xml:space="preserve">ormation from ECR </w:t>
      </w:r>
      <w:r w:rsidR="0001767C">
        <w:t>D</w:t>
      </w:r>
      <w:r>
        <w:t xml:space="preserve">ischarge </w:t>
      </w:r>
      <w:r w:rsidR="0001767C">
        <w:t>S</w:t>
      </w:r>
      <w:r>
        <w:t xml:space="preserve">ustained by 75 GHz </w:t>
      </w:r>
      <w:r w:rsidR="0001767C">
        <w:t>G</w:t>
      </w:r>
      <w:r>
        <w:t xml:space="preserve">yrotron </w:t>
      </w:r>
      <w:r w:rsidR="0001767C">
        <w:t>R</w:t>
      </w:r>
      <w:r>
        <w:t>adiation</w:t>
      </w:r>
      <w:r w:rsidR="00BE5FD1" w:rsidRPr="00075EA6">
        <w:t xml:space="preserve"> </w:t>
      </w:r>
      <w:r w:rsidR="00A90413" w:rsidRPr="00075EA6">
        <w:br/>
      </w:r>
    </w:p>
    <w:p w:rsidR="0016385D" w:rsidRPr="00075EA6" w:rsidRDefault="002B2B2A" w:rsidP="003A5C85">
      <w:pPr>
        <w:pStyle w:val="AuthorName"/>
      </w:pPr>
      <w:r>
        <w:t>V. Skalyga</w:t>
      </w:r>
      <w:r>
        <w:rPr>
          <w:vertAlign w:val="superscript"/>
        </w:rPr>
        <w:t>1</w:t>
      </w:r>
      <w:proofErr w:type="gramStart"/>
      <w:r>
        <w:rPr>
          <w:vertAlign w:val="superscript"/>
        </w:rPr>
        <w:t>,2</w:t>
      </w:r>
      <w:proofErr w:type="gramEnd"/>
      <w:r>
        <w:rPr>
          <w:vertAlign w:val="superscript"/>
        </w:rPr>
        <w:t>, a)</w:t>
      </w:r>
      <w:r>
        <w:t>, I. Izotov</w:t>
      </w:r>
      <w:r>
        <w:rPr>
          <w:vertAlign w:val="superscript"/>
        </w:rPr>
        <w:t>1,2</w:t>
      </w:r>
      <w:r>
        <w:t>, S. Golubev</w:t>
      </w:r>
      <w:r>
        <w:rPr>
          <w:vertAlign w:val="superscript"/>
        </w:rPr>
        <w:t>1</w:t>
      </w:r>
      <w:r>
        <w:t>, S. Razin</w:t>
      </w:r>
      <w:r>
        <w:rPr>
          <w:vertAlign w:val="superscript"/>
        </w:rPr>
        <w:t>1</w:t>
      </w:r>
      <w:r>
        <w:t>, A. Sidorov</w:t>
      </w:r>
      <w:r>
        <w:rPr>
          <w:vertAlign w:val="superscript"/>
        </w:rPr>
        <w:t>1,2</w:t>
      </w:r>
      <w:r w:rsidR="004B151D" w:rsidRPr="00075EA6">
        <w:rPr>
          <w:szCs w:val="28"/>
          <w:vertAlign w:val="superscript"/>
        </w:rPr>
        <w:br/>
      </w:r>
    </w:p>
    <w:p w:rsidR="002B2B2A" w:rsidRPr="00632A0A" w:rsidRDefault="002B2B2A" w:rsidP="002B2B2A">
      <w:pPr>
        <w:pStyle w:val="AuthorAffiliation"/>
      </w:pPr>
      <w:proofErr w:type="gramStart"/>
      <w:r w:rsidRPr="00632A0A">
        <w:rPr>
          <w:i w:val="0"/>
          <w:iCs/>
          <w:vertAlign w:val="superscript"/>
        </w:rPr>
        <w:t>1</w:t>
      </w:r>
      <w:proofErr w:type="gramEnd"/>
      <w:r w:rsidRPr="00632A0A">
        <w:t xml:space="preserve"> </w:t>
      </w:r>
      <w:r w:rsidRPr="00632A0A">
        <w:rPr>
          <w:shd w:val="clear" w:color="auto" w:fill="FFFFFF"/>
        </w:rPr>
        <w:t xml:space="preserve">Institute of Applied Physics, Russian Academy of Sciences. </w:t>
      </w:r>
      <w:r w:rsidRPr="00632A0A">
        <w:t xml:space="preserve"> </w:t>
      </w:r>
    </w:p>
    <w:p w:rsidR="002B2B2A" w:rsidRPr="00075EA6" w:rsidRDefault="002B2B2A" w:rsidP="002B2B2A">
      <w:pPr>
        <w:pStyle w:val="AuthorAffiliation"/>
        <w:rPr>
          <w:szCs w:val="28"/>
          <w:vertAlign w:val="superscript"/>
        </w:rPr>
      </w:pPr>
      <w:proofErr w:type="gramStart"/>
      <w:r>
        <w:t>46</w:t>
      </w:r>
      <w:proofErr w:type="gramEnd"/>
      <w:r>
        <w:t xml:space="preserve"> </w:t>
      </w:r>
      <w:proofErr w:type="spellStart"/>
      <w:r>
        <w:t>Ulyanova</w:t>
      </w:r>
      <w:proofErr w:type="spellEnd"/>
      <w:r>
        <w:t xml:space="preserve"> </w:t>
      </w:r>
      <w:proofErr w:type="spellStart"/>
      <w:r>
        <w:t>st.</w:t>
      </w:r>
      <w:proofErr w:type="spellEnd"/>
      <w:r>
        <w:t>, Nizhniy Novgorod, Russian Federation</w:t>
      </w:r>
    </w:p>
    <w:p w:rsidR="002B2B2A" w:rsidRDefault="00EF6940" w:rsidP="002B2B2A">
      <w:pPr>
        <w:pStyle w:val="AuthorAffiliation"/>
      </w:pPr>
      <w:proofErr w:type="gramStart"/>
      <w:r w:rsidRPr="00075EA6">
        <w:rPr>
          <w:i w:val="0"/>
          <w:iCs/>
          <w:vertAlign w:val="superscript"/>
        </w:rPr>
        <w:t>2</w:t>
      </w:r>
      <w:proofErr w:type="gramEnd"/>
      <w:r w:rsidR="000B3A2D" w:rsidRPr="00075EA6">
        <w:t xml:space="preserve"> </w:t>
      </w:r>
      <w:proofErr w:type="spellStart"/>
      <w:r w:rsidR="002B2B2A" w:rsidRPr="002B2B2A">
        <w:t>Lobachevsky</w:t>
      </w:r>
      <w:proofErr w:type="spellEnd"/>
      <w:r w:rsidR="002B2B2A" w:rsidRPr="002B2B2A">
        <w:t xml:space="preserve"> State University of </w:t>
      </w:r>
      <w:proofErr w:type="spellStart"/>
      <w:r w:rsidR="002B2B2A" w:rsidRPr="002B2B2A">
        <w:t>Nizhni</w:t>
      </w:r>
      <w:proofErr w:type="spellEnd"/>
      <w:r w:rsidR="002B2B2A" w:rsidRPr="002B2B2A">
        <w:t xml:space="preserve"> Novgorod (UNN)</w:t>
      </w:r>
    </w:p>
    <w:p w:rsidR="003A5C85" w:rsidRPr="00075EA6" w:rsidRDefault="002B2B2A" w:rsidP="002B2B2A">
      <w:pPr>
        <w:pStyle w:val="AuthorAffiliation"/>
      </w:pPr>
      <w:r w:rsidRPr="002B2B2A">
        <w:t xml:space="preserve">23 </w:t>
      </w:r>
      <w:proofErr w:type="spellStart"/>
      <w:r w:rsidRPr="002B2B2A">
        <w:t>Prospekt</w:t>
      </w:r>
      <w:proofErr w:type="spellEnd"/>
      <w:r w:rsidRPr="002B2B2A">
        <w:t xml:space="preserve"> </w:t>
      </w:r>
      <w:proofErr w:type="spellStart"/>
      <w:r w:rsidRPr="002B2B2A">
        <w:t>Gagarina</w:t>
      </w:r>
      <w:proofErr w:type="spellEnd"/>
      <w:r w:rsidRPr="002B2B2A">
        <w:t>, Nizhniy Novgorod, Russian Federation</w:t>
      </w:r>
      <w:r w:rsidR="00340C36" w:rsidRPr="00075EA6">
        <w:br/>
      </w:r>
      <w:r w:rsidR="003A5C85" w:rsidRPr="00075EA6">
        <w:br/>
      </w:r>
      <w:r w:rsidR="00BE5FD1" w:rsidRPr="00075EA6">
        <w:rPr>
          <w:szCs w:val="28"/>
          <w:vertAlign w:val="superscript"/>
        </w:rPr>
        <w:t>a</w:t>
      </w:r>
      <w:proofErr w:type="gramStart"/>
      <w:r w:rsidR="00BE5FD1" w:rsidRPr="00075EA6">
        <w:rPr>
          <w:szCs w:val="28"/>
          <w:vertAlign w:val="superscript"/>
        </w:rPr>
        <w:t>)</w:t>
      </w:r>
      <w:r w:rsidR="00BE5FD1" w:rsidRPr="00075EA6">
        <w:t>Corresponding</w:t>
      </w:r>
      <w:proofErr w:type="gramEnd"/>
      <w:r w:rsidR="004E3CB2" w:rsidRPr="00075EA6">
        <w:t xml:space="preserve"> author: </w:t>
      </w:r>
      <w:r w:rsidRPr="0001767C">
        <w:rPr>
          <w:i w:val="0"/>
        </w:rPr>
        <w:t>skalyga@ipfran.ru</w:t>
      </w:r>
      <w:r w:rsidR="001D469C" w:rsidRPr="00075EA6">
        <w:br/>
      </w:r>
    </w:p>
    <w:p w:rsidR="0016385D" w:rsidRPr="00075EA6" w:rsidRDefault="0016385D" w:rsidP="0018509F">
      <w:pPr>
        <w:pStyle w:val="Abstract"/>
      </w:pPr>
      <w:r w:rsidRPr="00075EA6">
        <w:rPr>
          <w:b/>
          <w:bCs/>
        </w:rPr>
        <w:t>Abstract.</w:t>
      </w:r>
      <w:r w:rsidRPr="00075EA6">
        <w:t xml:space="preserve"> </w:t>
      </w:r>
      <w:r w:rsidR="0018509F" w:rsidRPr="007E07CD">
        <w:t>Operation of modern high power accelerators often requires production of intense beams of hydrogen ions. H</w:t>
      </w:r>
      <w:r w:rsidR="0018509F" w:rsidRPr="007E07CD">
        <w:rPr>
          <w:vertAlign w:val="superscript"/>
        </w:rPr>
        <w:t>+</w:t>
      </w:r>
      <w:r w:rsidR="0018509F" w:rsidRPr="007E07CD">
        <w:t xml:space="preserve"> and D</w:t>
      </w:r>
      <w:r w:rsidR="0018509F" w:rsidRPr="007E07CD">
        <w:rPr>
          <w:vertAlign w:val="superscript"/>
        </w:rPr>
        <w:t>+</w:t>
      </w:r>
      <w:r w:rsidR="0018509F" w:rsidRPr="007E07CD">
        <w:t xml:space="preserve"> beams </w:t>
      </w:r>
      <w:proofErr w:type="gramStart"/>
      <w:r w:rsidR="0018509F" w:rsidRPr="007E07CD">
        <w:t>are utilized or envisioned for use in linear accelerators</w:t>
      </w:r>
      <w:proofErr w:type="gramEnd"/>
      <w:r w:rsidR="0018509F" w:rsidRPr="007E07CD">
        <w:t xml:space="preserve">. Requirements for the brightness of such beams grow together with the demand of accelerator development and arising experimental needs. New facilities aiming at outperforming the previous generation accelerators </w:t>
      </w:r>
      <w:proofErr w:type="gramStart"/>
      <w:r w:rsidR="0018509F" w:rsidRPr="007E07CD">
        <w:t>are usually designed</w:t>
      </w:r>
      <w:proofErr w:type="gramEnd"/>
      <w:r w:rsidR="0018509F" w:rsidRPr="007E07CD">
        <w:t xml:space="preserve"> for higher beam currents. Enhancing the hydrogen beam intensity and maintaining low transverse emittance at the same time </w:t>
      </w:r>
      <w:proofErr w:type="gramStart"/>
      <w:r w:rsidR="0018509F" w:rsidRPr="007E07CD">
        <w:t>is, however, becoming</w:t>
      </w:r>
      <w:proofErr w:type="gramEnd"/>
      <w:r w:rsidR="0018509F" w:rsidRPr="007E07CD">
        <w:t xml:space="preserve"> increasingly difficult. The most modern accelerators require hydrogen ion beams with currents up to hundreds of mA (pulsed or CW), and normalized emittance less than 0.2-0-3 π·mm·mrad to keep the beam losses at high energy sections of the linac below commonly imposed 1 W/m limit.</w:t>
      </w:r>
      <w:r w:rsidR="0018509F">
        <w:t xml:space="preserve"> </w:t>
      </w:r>
      <w:r w:rsidR="0018509F" w:rsidRPr="007E07CD">
        <w:t>The latest results of high current H+ and D+ beams</w:t>
      </w:r>
      <w:r w:rsidR="0018509F">
        <w:t xml:space="preserve"> formation</w:t>
      </w:r>
      <w:r w:rsidR="0018509F" w:rsidRPr="007E07CD">
        <w:t xml:space="preserve"> from plasma of ECR discharge sustained by 75 GHz / 200 kW gyrotron radiation in open magnetic trap of simple mirror configuration at the Institute of Applied Physics (IAP RAS) </w:t>
      </w:r>
      <w:proofErr w:type="gramStart"/>
      <w:r w:rsidR="0018509F" w:rsidRPr="007E07CD">
        <w:t>are presented</w:t>
      </w:r>
      <w:proofErr w:type="gramEnd"/>
      <w:r w:rsidR="0018509F" w:rsidRPr="007E07CD">
        <w:t>. High microwave power and frequency allow sustaining higher density hydrogen plasma (n</w:t>
      </w:r>
      <w:r w:rsidR="0018509F" w:rsidRPr="007E07CD">
        <w:rPr>
          <w:vertAlign w:val="subscript"/>
        </w:rPr>
        <w:t>e</w:t>
      </w:r>
      <w:r w:rsidR="0018509F" w:rsidRPr="007E07CD">
        <w:t xml:space="preserve"> up to </w:t>
      </w:r>
      <w:proofErr w:type="gramStart"/>
      <w:r w:rsidR="0018509F" w:rsidRPr="007E07CD">
        <w:t>7·</w:t>
      </w:r>
      <w:proofErr w:type="gramEnd"/>
      <w:r w:rsidR="0018509F" w:rsidRPr="007E07CD">
        <w:t>10</w:t>
      </w:r>
      <w:r w:rsidR="0018509F" w:rsidRPr="007E07CD">
        <w:rPr>
          <w:vertAlign w:val="superscript"/>
        </w:rPr>
        <w:t>13</w:t>
      </w:r>
      <w:r w:rsidR="0018509F" w:rsidRPr="007E07CD">
        <w:t xml:space="preserve"> cm</w:t>
      </w:r>
      <w:r w:rsidR="0018509F" w:rsidRPr="007E07CD">
        <w:rPr>
          <w:vertAlign w:val="superscript"/>
        </w:rPr>
        <w:t>-3</w:t>
      </w:r>
      <w:r w:rsidR="0018509F" w:rsidRPr="007E07CD">
        <w:t xml:space="preserve">) in comparison to conventional ECRIS’s or microwave sources. The low ion temperature, </w:t>
      </w:r>
      <w:proofErr w:type="gramStart"/>
      <w:r w:rsidR="0018509F" w:rsidRPr="007E07CD">
        <w:t>on the order of</w:t>
      </w:r>
      <w:proofErr w:type="gramEnd"/>
      <w:r w:rsidR="0018509F" w:rsidRPr="007E07CD">
        <w:t xml:space="preserve"> a few eV, is beneficial to produce light ion beams with low emittance. Results on ion beam extraction and emittance measurements </w:t>
      </w:r>
      <w:proofErr w:type="gramStart"/>
      <w:r w:rsidR="0018509F" w:rsidRPr="007E07CD">
        <w:t>are presented</w:t>
      </w:r>
      <w:proofErr w:type="gramEnd"/>
      <w:r w:rsidR="0018509F" w:rsidRPr="007E07CD">
        <w:t>.</w:t>
      </w:r>
    </w:p>
    <w:p w:rsidR="003A287B" w:rsidRPr="00075EA6" w:rsidRDefault="001043AA" w:rsidP="00B1000D">
      <w:pPr>
        <w:pStyle w:val="1"/>
        <w:rPr>
          <w:b w:val="0"/>
          <w:caps w:val="0"/>
          <w:sz w:val="20"/>
        </w:rPr>
      </w:pPr>
      <w:r>
        <w:t>Introduction</w:t>
      </w:r>
      <w:r w:rsidR="00616F3B" w:rsidRPr="00075EA6">
        <w:br/>
      </w:r>
    </w:p>
    <w:p w:rsidR="002A0A51" w:rsidRPr="002A0A51" w:rsidRDefault="002A0A51" w:rsidP="002A0A51">
      <w:pPr>
        <w:pStyle w:val="Paragraph"/>
      </w:pPr>
      <w:r w:rsidRPr="002A0A51">
        <w:t>Recently generation of high current proton and deuteron beams was investigated at SMIS 37 facility [</w:t>
      </w:r>
      <w:r w:rsidR="000B5A5E">
        <w:t>1</w:t>
      </w:r>
      <w:proofErr w:type="gramStart"/>
      <w:r w:rsidR="00264768">
        <w:t>,2,3</w:t>
      </w:r>
      <w:proofErr w:type="gramEnd"/>
      <w:r w:rsidRPr="002A0A51">
        <w:t>] at the Institute of Applied Physics (IAP</w:t>
      </w:r>
      <w:r>
        <w:t xml:space="preserve"> </w:t>
      </w:r>
      <w:r w:rsidRPr="002A0A51">
        <w:t xml:space="preserve">RAS). SMIS 37 </w:t>
      </w:r>
      <w:proofErr w:type="gramStart"/>
      <w:r w:rsidRPr="002A0A51">
        <w:t>has been constructed</w:t>
      </w:r>
      <w:proofErr w:type="gramEnd"/>
      <w:r w:rsidRPr="002A0A51">
        <w:t xml:space="preserve"> for production of high current beams of </w:t>
      </w:r>
      <w:proofErr w:type="spellStart"/>
      <w:r w:rsidRPr="002A0A51">
        <w:t>multicharged</w:t>
      </w:r>
      <w:proofErr w:type="spellEnd"/>
      <w:r w:rsidRPr="002A0A51">
        <w:t xml:space="preserve"> ions. However, due to the substantial potential exhibited by the setup, we found it reasonable to test its capabilities for proton beam production. At this experimental </w:t>
      </w:r>
      <w:proofErr w:type="gramStart"/>
      <w:r w:rsidRPr="002A0A51">
        <w:t>setup</w:t>
      </w:r>
      <w:proofErr w:type="gramEnd"/>
      <w:r w:rsidRPr="002A0A51">
        <w:t xml:space="preserve"> plasma is created and electrons are heated by 37.5 GHz gyrotron radiation with power up to 100 kW in a simple mirror trap under ECR condition. Using of such high frequency of microwave (in comparison with conventional ECRIS’s) allows to create and sustain plasma with significantly higher density (up to 2·10</w:t>
      </w:r>
      <w:r w:rsidRPr="002A0A51">
        <w:rPr>
          <w:vertAlign w:val="superscript"/>
        </w:rPr>
        <w:t>13</w:t>
      </w:r>
      <w:r w:rsidRPr="002A0A51">
        <w:t xml:space="preserve"> cm</w:t>
      </w:r>
      <w:r w:rsidRPr="002A0A51">
        <w:rPr>
          <w:vertAlign w:val="superscript"/>
        </w:rPr>
        <w:t>-3</w:t>
      </w:r>
      <w:r w:rsidRPr="002A0A51">
        <w:t>) [</w:t>
      </w:r>
      <w:r w:rsidR="000B5A5E">
        <w:t>2</w:t>
      </w:r>
      <w:r w:rsidRPr="002A0A51">
        <w:t>] and at the same time to maintain the main advantages of conventional ECRIS such as high ionization degree and low ion energy (on the order of a few eV). Reaching such high plasma density relies on the fact that the critical density for the microwave radiation grows with the frequency squared. Using high microwave power allows to keep the average electron energy on a high enough level (50-300 eV) for efficient hydrogen ionization even in the case of so-called quasi gasdynamic regime of plasma confinement [</w:t>
      </w:r>
      <w:r w:rsidR="00264768">
        <w:t>3</w:t>
      </w:r>
      <w:r w:rsidRPr="002A0A51">
        <w:t>] at neutral gas pressure range of 1∙10</w:t>
      </w:r>
      <w:r w:rsidRPr="002A0A51">
        <w:rPr>
          <w:vertAlign w:val="superscript"/>
        </w:rPr>
        <w:t>-4</w:t>
      </w:r>
      <w:r w:rsidRPr="002A0A51">
        <w:t xml:space="preserve"> - 1∙10</w:t>
      </w:r>
      <w:r w:rsidRPr="002A0A51">
        <w:rPr>
          <w:vertAlign w:val="superscript"/>
        </w:rPr>
        <w:t>-3</w:t>
      </w:r>
      <w:r>
        <w:t xml:space="preserve"> </w:t>
      </w:r>
      <w:proofErr w:type="spellStart"/>
      <w:r>
        <w:t>Torr</w:t>
      </w:r>
      <w:r w:rsidRPr="002A0A51">
        <w:t>.</w:t>
      </w:r>
      <w:proofErr w:type="spellEnd"/>
    </w:p>
    <w:p w:rsidR="002A0A51" w:rsidRPr="002A0A51" w:rsidRDefault="002A0A51" w:rsidP="002A0A51">
      <w:pPr>
        <w:pStyle w:val="Paragraph"/>
      </w:pPr>
      <w:proofErr w:type="spellStart"/>
      <w:r w:rsidRPr="002A0A51">
        <w:t>The</w:t>
      </w:r>
      <w:proofErr w:type="spellEnd"/>
      <w:r w:rsidRPr="002A0A51">
        <w:t xml:space="preserve"> </w:t>
      </w:r>
      <w:proofErr w:type="gramStart"/>
      <w:r w:rsidRPr="002A0A51">
        <w:t>quasi gasdynamic</w:t>
      </w:r>
      <w:proofErr w:type="gramEnd"/>
      <w:r w:rsidRPr="002A0A51">
        <w:t xml:space="preserve"> confinement regime is characterized with low ion trapping time. Plasma losses from the magnetic trap </w:t>
      </w:r>
      <w:proofErr w:type="gramStart"/>
      <w:r w:rsidRPr="002A0A51">
        <w:t>are determined</w:t>
      </w:r>
      <w:proofErr w:type="gramEnd"/>
      <w:r w:rsidRPr="002A0A51">
        <w:t xml:space="preserve"> by ejection of charged particles through the plugs with ion sound velocity. Typical value </w:t>
      </w:r>
      <w:r w:rsidRPr="002A0A51">
        <w:lastRenderedPageBreak/>
        <w:t xml:space="preserve">of plasma lifetime in such regime at SMIS 37 is </w:t>
      </w:r>
      <w:proofErr w:type="gramStart"/>
      <w:r w:rsidRPr="002A0A51">
        <w:t>on the order of</w:t>
      </w:r>
      <w:proofErr w:type="gramEnd"/>
      <w:r w:rsidRPr="002A0A51">
        <w:t xml:space="preserve"> 10 µs. Such low lifetime together with extremely high plasma density allows </w:t>
      </w:r>
      <w:proofErr w:type="gramStart"/>
      <w:r w:rsidRPr="002A0A51">
        <w:t>to produce</w:t>
      </w:r>
      <w:proofErr w:type="gramEnd"/>
      <w:r w:rsidRPr="002A0A51">
        <w:t xml:space="preserve"> unprecedented plasma fluxes in any types of ion sources. The peak density of the plasma flux at the magnetic plug (mirror) at SMIS 37 is about 10 A/cm</w:t>
      </w:r>
      <w:r w:rsidRPr="002A0A51">
        <w:rPr>
          <w:vertAlign w:val="superscript"/>
        </w:rPr>
        <w:t>2</w:t>
      </w:r>
      <w:r w:rsidRPr="002A0A51">
        <w:t xml:space="preserve">. The quasi </w:t>
      </w:r>
      <w:proofErr w:type="gramStart"/>
      <w:r w:rsidRPr="002A0A51">
        <w:t>gasdynamic  confinement</w:t>
      </w:r>
      <w:proofErr w:type="gramEnd"/>
      <w:r w:rsidRPr="002A0A51">
        <w:t xml:space="preserve"> of ECR plasma and parameters of the source in this regime have been described previously in a number of publications, e.g. in [</w:t>
      </w:r>
      <w:r w:rsidR="00264768">
        <w:t>2</w:t>
      </w:r>
      <w:r w:rsidRPr="002A0A51">
        <w:t>,</w:t>
      </w:r>
      <w:r w:rsidR="00264768">
        <w:t>3</w:t>
      </w:r>
      <w:r w:rsidRPr="002A0A51">
        <w:t xml:space="preserve">]. </w:t>
      </w:r>
    </w:p>
    <w:p w:rsidR="002A0A51" w:rsidRPr="002A0A51" w:rsidRDefault="002A0A51" w:rsidP="002A0A51">
      <w:pPr>
        <w:pStyle w:val="Paragraph"/>
      </w:pPr>
      <w:r w:rsidRPr="002A0A51">
        <w:t xml:space="preserve">The experimental results </w:t>
      </w:r>
      <w:r w:rsidRPr="00807C55">
        <w:t xml:space="preserve">described in </w:t>
      </w:r>
      <w:r w:rsidRPr="002A0A51">
        <w:t>[</w:t>
      </w:r>
      <w:r w:rsidR="00264768">
        <w:t>4</w:t>
      </w:r>
      <w:proofErr w:type="gramStart"/>
      <w:r w:rsidRPr="002A0A51">
        <w:t>,</w:t>
      </w:r>
      <w:r w:rsidR="00264768">
        <w:t>5</w:t>
      </w:r>
      <w:proofErr w:type="gramEnd"/>
      <w:r w:rsidRPr="002A0A51">
        <w:t xml:space="preserve">] demonstrate the feasibility of high power millimeter wave quasi-gasdynamic ECR ion sources for the production of high brightness proton beams with favorable species fraction. For the next </w:t>
      </w:r>
      <w:r>
        <w:t xml:space="preserve">experimental </w:t>
      </w:r>
      <w:r w:rsidRPr="002A0A51">
        <w:t xml:space="preserve">step on H+ and D+ ion beams production SMIS 37 facility </w:t>
      </w:r>
      <w:proofErr w:type="gramStart"/>
      <w:r w:rsidRPr="002A0A51">
        <w:t>was upgraded</w:t>
      </w:r>
      <w:proofErr w:type="gramEnd"/>
      <w:r w:rsidRPr="002A0A51">
        <w:t xml:space="preserve"> up to SMIS 75 by replacing of the old gyrotron with the new one with 75 GHz radiation frequency and 200 kW peak power. Present paper is devoted to the latest results on ion beam formation using modified facility.</w:t>
      </w:r>
    </w:p>
    <w:p w:rsidR="001043AA" w:rsidRDefault="001043AA" w:rsidP="001043AA">
      <w:pPr>
        <w:pStyle w:val="Paragraph"/>
      </w:pPr>
    </w:p>
    <w:p w:rsidR="002A0A51" w:rsidRDefault="002A0A51" w:rsidP="002A0A51">
      <w:pPr>
        <w:pStyle w:val="1"/>
      </w:pPr>
      <w:r w:rsidRPr="00CA2266">
        <w:t xml:space="preserve">SMIS </w:t>
      </w:r>
      <w:r>
        <w:t>75</w:t>
      </w:r>
      <w:r w:rsidRPr="00CA2266">
        <w:t xml:space="preserve"> experimental facility</w:t>
      </w:r>
    </w:p>
    <w:p w:rsidR="002A0A51" w:rsidRPr="002A0A51" w:rsidRDefault="002A0A51" w:rsidP="002A0A51">
      <w:pPr>
        <w:pStyle w:val="Paragraph"/>
      </w:pPr>
      <w:r w:rsidRPr="002A0A51">
        <w:t xml:space="preserve">The experimental research presented in this work </w:t>
      </w:r>
      <w:proofErr w:type="gramStart"/>
      <w:r w:rsidRPr="002A0A51">
        <w:t>was carried out</w:t>
      </w:r>
      <w:proofErr w:type="gramEnd"/>
      <w:r w:rsidRPr="002A0A51">
        <w:t xml:space="preserve"> on the SMIS 75 shown schematically in Fig. 1.</w:t>
      </w:r>
    </w:p>
    <w:p w:rsidR="002A0A51" w:rsidRDefault="0001767C" w:rsidP="002A0A51">
      <w:pPr>
        <w:pStyle w:val="FigureCaption"/>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183.75pt">
            <v:imagedata r:id="rId6" o:title="SMIS 75 english" croptop="4859f" cropbottom="30404f" cropleft="2945f" cropright="1894f"/>
          </v:shape>
        </w:pict>
      </w:r>
    </w:p>
    <w:p w:rsidR="002A0A51" w:rsidRDefault="002A0A51" w:rsidP="002A0A51">
      <w:pPr>
        <w:pStyle w:val="FigureCaption"/>
      </w:pPr>
      <w:r w:rsidRPr="002A0A51">
        <w:rPr>
          <w:b/>
        </w:rPr>
        <w:t>FIGURE 1</w:t>
      </w:r>
      <w:r w:rsidRPr="002A0A51">
        <w:t>. SMIS 75 experimental setup.</w:t>
      </w:r>
    </w:p>
    <w:p w:rsidR="0001767C" w:rsidRPr="0001767C" w:rsidRDefault="0001767C" w:rsidP="0001767C">
      <w:pPr>
        <w:pStyle w:val="Paragraph"/>
      </w:pPr>
    </w:p>
    <w:p w:rsidR="002A0A51" w:rsidRPr="002A0A51" w:rsidRDefault="002A0A51" w:rsidP="002A0A51">
      <w:pPr>
        <w:pStyle w:val="Paragraph"/>
      </w:pPr>
      <w:r w:rsidRPr="002A0A51">
        <w:t xml:space="preserve">A gyrotron generating a Gaussian beam of linearly polarized radiation at the frequency of </w:t>
      </w:r>
      <w:r w:rsidR="00436190">
        <w:t>75</w:t>
      </w:r>
      <w:r w:rsidRPr="002A0A51">
        <w:t xml:space="preserve"> GHz, with the power up to </w:t>
      </w:r>
      <w:r w:rsidR="00436190">
        <w:t>2</w:t>
      </w:r>
      <w:r w:rsidRPr="002A0A51">
        <w:t xml:space="preserve">00 kW, and pulse duration up to 1.5 </w:t>
      </w:r>
      <w:proofErr w:type="spellStart"/>
      <w:r w:rsidRPr="002A0A51">
        <w:t>ms</w:t>
      </w:r>
      <w:proofErr w:type="spellEnd"/>
      <w:r w:rsidRPr="002A0A51">
        <w:t xml:space="preserve"> </w:t>
      </w:r>
      <w:proofErr w:type="gramStart"/>
      <w:r w:rsidRPr="002A0A51">
        <w:t>was used</w:t>
      </w:r>
      <w:proofErr w:type="gramEnd"/>
      <w:r w:rsidRPr="002A0A51">
        <w:t xml:space="preserve"> as a source of pulsed microwave radiation. The microwave radiation is launched into the plasma chamber through a quasi-optical system consisting of </w:t>
      </w:r>
      <w:proofErr w:type="gramStart"/>
      <w:r w:rsidRPr="002A0A51">
        <w:t>2</w:t>
      </w:r>
      <w:proofErr w:type="gramEnd"/>
      <w:r w:rsidRPr="002A0A51">
        <w:t xml:space="preserve"> mirrors, quartz (vacuum) window and a special </w:t>
      </w:r>
      <w:r w:rsidR="00436190">
        <w:t>microwave</w:t>
      </w:r>
      <w:r w:rsidRPr="002A0A51">
        <w:t xml:space="preserve"> coupling system shown on the left in Fig. 1. The setup </w:t>
      </w:r>
      <w:proofErr w:type="gramStart"/>
      <w:r w:rsidRPr="002A0A51">
        <w:t>has been designed</w:t>
      </w:r>
      <w:proofErr w:type="gramEnd"/>
      <w:r w:rsidRPr="002A0A51">
        <w:t xml:space="preserve"> for efficient transport of the radiation avoiding parasitic resonances and plasma flux impinging the quartz window. A simple mirror trap </w:t>
      </w:r>
      <w:proofErr w:type="gramStart"/>
      <w:r w:rsidRPr="002A0A51">
        <w:t>was used</w:t>
      </w:r>
      <w:proofErr w:type="gramEnd"/>
      <w:r w:rsidRPr="002A0A51">
        <w:t xml:space="preserve"> for plasma confinement. The magnetic field in the trap </w:t>
      </w:r>
      <w:proofErr w:type="gramStart"/>
      <w:r w:rsidRPr="002A0A51">
        <w:t>was produced</w:t>
      </w:r>
      <w:proofErr w:type="gramEnd"/>
      <w:r w:rsidRPr="002A0A51">
        <w:t xml:space="preserve"> by means of pulsed solenoids, spaced 15 cm apart. The current pulse with the shape close to half period of a sinusoid had the duration of 11 </w:t>
      </w:r>
      <w:proofErr w:type="spellStart"/>
      <w:r w:rsidRPr="002A0A51">
        <w:t>ms</w:t>
      </w:r>
      <w:proofErr w:type="spellEnd"/>
      <w:r w:rsidRPr="002A0A51">
        <w:t xml:space="preserve"> with the magnetic field variation during the microwave pulse being less than 3%. Magnetic field in the plug was varied from </w:t>
      </w:r>
      <w:r w:rsidR="00970B97">
        <w:t>2.7</w:t>
      </w:r>
      <w:r w:rsidRPr="002A0A51">
        <w:t xml:space="preserve"> to </w:t>
      </w:r>
      <w:proofErr w:type="gramStart"/>
      <w:r w:rsidRPr="002A0A51">
        <w:t>4</w:t>
      </w:r>
      <w:proofErr w:type="gramEnd"/>
      <w:r w:rsidRPr="002A0A51">
        <w:t xml:space="preserve"> T (ECR for </w:t>
      </w:r>
      <w:r w:rsidR="00970B97">
        <w:t>75</w:t>
      </w:r>
      <w:r w:rsidRPr="002A0A51">
        <w:t xml:space="preserve"> GHz is </w:t>
      </w:r>
      <w:r w:rsidR="00970B97">
        <w:t>2</w:t>
      </w:r>
      <w:r w:rsidRPr="002A0A51">
        <w:t>.</w:t>
      </w:r>
      <w:r w:rsidR="00970B97">
        <w:t>7</w:t>
      </w:r>
      <w:r w:rsidRPr="002A0A51">
        <w:t xml:space="preserve"> T). Ratio of the maximum and minimum magnetic fields of the trap was equal to </w:t>
      </w:r>
      <w:proofErr w:type="gramStart"/>
      <w:r w:rsidRPr="002A0A51">
        <w:t>5</w:t>
      </w:r>
      <w:proofErr w:type="gramEnd"/>
      <w:r w:rsidRPr="002A0A51">
        <w:t xml:space="preserve"> (i.e. </w:t>
      </w:r>
      <w:proofErr w:type="spellStart"/>
      <w:r w:rsidRPr="002A0A51">
        <w:t>Bmax</w:t>
      </w:r>
      <w:proofErr w:type="spellEnd"/>
      <w:r w:rsidRPr="002A0A51">
        <w:t>/</w:t>
      </w:r>
      <w:proofErr w:type="spellStart"/>
      <w:r w:rsidRPr="002A0A51">
        <w:t>Bmin</w:t>
      </w:r>
      <w:proofErr w:type="spellEnd"/>
      <w:r w:rsidRPr="002A0A51">
        <w:t xml:space="preserve">). The hydrogen inlet into the source </w:t>
      </w:r>
      <w:proofErr w:type="gramStart"/>
      <w:r w:rsidRPr="002A0A51">
        <w:t>was realized</w:t>
      </w:r>
      <w:proofErr w:type="gramEnd"/>
      <w:r w:rsidRPr="002A0A51">
        <w:t xml:space="preserve"> through an opening incorporated with the microwave coupling system. The delay between hydrogen injection and subsequent microwave pulse (300-3000 µs) as well as gas pulse duration (about 5 </w:t>
      </w:r>
      <w:proofErr w:type="spellStart"/>
      <w:r w:rsidRPr="002A0A51">
        <w:t>ms</w:t>
      </w:r>
      <w:proofErr w:type="spellEnd"/>
      <w:r w:rsidRPr="002A0A51">
        <w:t xml:space="preserve">) </w:t>
      </w:r>
      <w:proofErr w:type="gramStart"/>
      <w:r w:rsidRPr="002A0A51">
        <w:t>were adjusted</w:t>
      </w:r>
      <w:proofErr w:type="gramEnd"/>
      <w:r w:rsidRPr="002A0A51">
        <w:t xml:space="preserve"> for each experimental condition in order to maximize the beam current and optimize the temporal shape of the extracted current pulse.</w:t>
      </w:r>
      <w:r w:rsidR="00970B97">
        <w:t xml:space="preserve"> </w:t>
      </w:r>
      <w:r w:rsidRPr="002A0A51">
        <w:t xml:space="preserve">Ion extraction and beam formation </w:t>
      </w:r>
      <w:proofErr w:type="gramStart"/>
      <w:r w:rsidRPr="002A0A51">
        <w:t>were realized</w:t>
      </w:r>
      <w:proofErr w:type="gramEnd"/>
      <w:r w:rsidRPr="002A0A51">
        <w:t xml:space="preserve"> by two-electrode, i.e. single gap plasma electrode - puller electrode, system.</w:t>
      </w:r>
      <w:r w:rsidR="00970B97">
        <w:t xml:space="preserve"> </w:t>
      </w:r>
      <w:r w:rsidR="00A55690">
        <w:t xml:space="preserve">A few sets of the electrodes </w:t>
      </w:r>
      <w:proofErr w:type="gramStart"/>
      <w:r w:rsidR="00A55690">
        <w:t>were tested</w:t>
      </w:r>
      <w:proofErr w:type="gramEnd"/>
      <w:r w:rsidR="00A55690">
        <w:t xml:space="preserve"> in experiments. </w:t>
      </w:r>
      <w:r w:rsidRPr="002A0A51">
        <w:t xml:space="preserve">A Faraday cup </w:t>
      </w:r>
      <w:proofErr w:type="gramStart"/>
      <w:r w:rsidRPr="002A0A51">
        <w:t>was placed</w:t>
      </w:r>
      <w:proofErr w:type="gramEnd"/>
      <w:r w:rsidRPr="002A0A51">
        <w:t xml:space="preserve"> just behind the end of puller electrode to measure the total beam current passing through the extractor.</w:t>
      </w:r>
      <w:r w:rsidR="00A55690">
        <w:t xml:space="preserve"> For measuring of the transverse </w:t>
      </w:r>
      <w:proofErr w:type="gramStart"/>
      <w:r w:rsidR="00A55690">
        <w:t>ion beam space distribution</w:t>
      </w:r>
      <w:proofErr w:type="gramEnd"/>
      <w:r w:rsidR="00A55690">
        <w:t xml:space="preserve"> a small moveable Faraday cap with 3 mm diameter was used. </w:t>
      </w:r>
      <w:r w:rsidRPr="002A0A51">
        <w:t xml:space="preserve">Emittance of the extracted beam (all species together) was measured with </w:t>
      </w:r>
      <w:r w:rsidR="000B5A5E">
        <w:t>“pepper-pot” method</w:t>
      </w:r>
      <w:r w:rsidRPr="002A0A51">
        <w:t>, which has been successfully tested earlier at SMIS 37</w:t>
      </w:r>
      <w:proofErr w:type="gramStart"/>
      <w:r w:rsidRPr="002A0A51">
        <w:t>.“</w:t>
      </w:r>
      <w:proofErr w:type="gramEnd"/>
      <w:r w:rsidRPr="002A0A51">
        <w:t xml:space="preserve">Pepper-pot” plate </w:t>
      </w:r>
      <w:proofErr w:type="gramStart"/>
      <w:r w:rsidRPr="002A0A51">
        <w:t>was placed</w:t>
      </w:r>
      <w:proofErr w:type="gramEnd"/>
      <w:r w:rsidRPr="002A0A51">
        <w:t xml:space="preserve"> 1 mm downstream from the puller with another 55 mm gap before a </w:t>
      </w:r>
      <w:proofErr w:type="spellStart"/>
      <w:r w:rsidRPr="002A0A51">
        <w:t>CsI</w:t>
      </w:r>
      <w:proofErr w:type="spellEnd"/>
      <w:r w:rsidRPr="002A0A51">
        <w:t xml:space="preserve"> scintillator for beam imaging.</w:t>
      </w:r>
    </w:p>
    <w:p w:rsidR="00E21863" w:rsidRPr="00A22E17" w:rsidRDefault="00E21863" w:rsidP="00E21863">
      <w:pPr>
        <w:pStyle w:val="1"/>
      </w:pPr>
      <w:r>
        <w:lastRenderedPageBreak/>
        <w:t>Experimental</w:t>
      </w:r>
      <w:r w:rsidRPr="00A22E17">
        <w:t xml:space="preserve"> </w:t>
      </w:r>
      <w:r>
        <w:t>results</w:t>
      </w:r>
    </w:p>
    <w:p w:rsidR="00AE173B" w:rsidRDefault="00807C55" w:rsidP="00AE173B">
      <w:pPr>
        <w:pStyle w:val="Paragraph"/>
        <w:rPr>
          <w:rFonts w:eastAsia="Lucida Sans Unicode"/>
        </w:rPr>
      </w:pPr>
      <w:r w:rsidRPr="00AE173B">
        <w:t xml:space="preserve">Results on beam hydrogen beams formation with different extraction system configuration </w:t>
      </w:r>
      <w:proofErr w:type="gramStart"/>
      <w:r w:rsidRPr="00AE173B">
        <w:t>are presented</w:t>
      </w:r>
      <w:proofErr w:type="gramEnd"/>
      <w:r w:rsidRPr="00AE173B">
        <w:t>.</w:t>
      </w:r>
      <w:r w:rsidR="00AE173B">
        <w:t xml:space="preserve"> </w:t>
      </w:r>
      <w:r w:rsidR="00AE173B" w:rsidRPr="00AE173B">
        <w:rPr>
          <w:rFonts w:eastAsia="Lucida Sans Unicode"/>
        </w:rPr>
        <w:t xml:space="preserve">At first extractor with 5 mm plasma electrode aperture and 10 </w:t>
      </w:r>
      <w:proofErr w:type="gramStart"/>
      <w:r w:rsidR="00AE173B" w:rsidRPr="00AE173B">
        <w:rPr>
          <w:rFonts w:eastAsia="Lucida Sans Unicode"/>
        </w:rPr>
        <w:t>mm</w:t>
      </w:r>
      <w:proofErr w:type="gramEnd"/>
      <w:r w:rsidR="00AE173B" w:rsidRPr="00AE173B">
        <w:rPr>
          <w:rFonts w:eastAsia="Lucida Sans Unicode"/>
        </w:rPr>
        <w:t xml:space="preserve"> puller aperture with 11 mm gap was used.</w:t>
      </w:r>
      <w:r w:rsidR="00AE173B">
        <w:rPr>
          <w:rFonts w:eastAsia="Lucida Sans Unicode"/>
        </w:rPr>
        <w:t xml:space="preserve"> </w:t>
      </w:r>
      <w:r w:rsidR="00AE173B" w:rsidRPr="00AE173B">
        <w:rPr>
          <w:rFonts w:eastAsia="Lucida Sans Unicode"/>
        </w:rPr>
        <w:t xml:space="preserve">In </w:t>
      </w:r>
      <w:proofErr w:type="gramStart"/>
      <w:r w:rsidR="00AE173B" w:rsidRPr="00AE173B">
        <w:rPr>
          <w:rFonts w:eastAsia="Lucida Sans Unicode"/>
        </w:rPr>
        <w:t>figure</w:t>
      </w:r>
      <w:proofErr w:type="gramEnd"/>
      <w:r w:rsidR="00AE173B" w:rsidRPr="00AE173B">
        <w:rPr>
          <w:rFonts w:eastAsia="Lucida Sans Unicode"/>
        </w:rPr>
        <w:t xml:space="preserve"> 2 examples of Faraday cup and puller currents </w:t>
      </w:r>
      <w:proofErr w:type="spellStart"/>
      <w:r w:rsidR="00AE173B" w:rsidRPr="00AE173B">
        <w:t>oscillogram</w:t>
      </w:r>
      <w:r w:rsidR="00AE173B" w:rsidRPr="00AE173B">
        <w:rPr>
          <w:rFonts w:eastAsia="Lucida Sans Unicode"/>
        </w:rPr>
        <w:t>s</w:t>
      </w:r>
      <w:proofErr w:type="spellEnd"/>
      <w:r w:rsidR="00AE173B" w:rsidRPr="00AE173B">
        <w:rPr>
          <w:rFonts w:eastAsia="Lucida Sans Unicode"/>
        </w:rPr>
        <w:t xml:space="preserve"> together with averaged current dependence on extraction voltage are shown.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A0CE0" w:rsidTr="004A0CE0">
        <w:tc>
          <w:tcPr>
            <w:tcW w:w="4675" w:type="dxa"/>
          </w:tcPr>
          <w:p w:rsidR="004A0CE0" w:rsidRDefault="004A0CE0" w:rsidP="004A0CE0">
            <w:pPr>
              <w:pStyle w:val="Paragraph"/>
              <w:ind w:firstLine="0"/>
              <w:jc w:val="right"/>
              <w:rPr>
                <w:rFonts w:eastAsia="Lucida Sans Unicode"/>
              </w:rPr>
            </w:pPr>
            <w:r>
              <w:rPr>
                <w:noProof/>
                <w:lang w:val="ru-RU" w:eastAsia="ru-RU"/>
              </w:rPr>
              <w:drawing>
                <wp:inline distT="0" distB="0" distL="0" distR="0" wp14:anchorId="1F74223E" wp14:editId="45525680">
                  <wp:extent cx="2257425" cy="1560290"/>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U=52.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68288" cy="1567798"/>
                          </a:xfrm>
                          <a:prstGeom prst="rect">
                            <a:avLst/>
                          </a:prstGeom>
                        </pic:spPr>
                      </pic:pic>
                    </a:graphicData>
                  </a:graphic>
                </wp:inline>
              </w:drawing>
            </w:r>
          </w:p>
        </w:tc>
        <w:tc>
          <w:tcPr>
            <w:tcW w:w="4675" w:type="dxa"/>
          </w:tcPr>
          <w:p w:rsidR="004A0CE0" w:rsidRDefault="004A0CE0" w:rsidP="004A0CE0">
            <w:pPr>
              <w:pStyle w:val="Paragraph"/>
              <w:ind w:firstLine="0"/>
              <w:jc w:val="left"/>
              <w:rPr>
                <w:rFonts w:eastAsia="Lucida Sans Unicode"/>
              </w:rPr>
            </w:pPr>
            <w:r>
              <w:rPr>
                <w:noProof/>
                <w:lang w:val="ru-RU" w:eastAsia="ru-RU"/>
              </w:rPr>
              <w:drawing>
                <wp:inline distT="0" distB="0" distL="0" distR="0" wp14:anchorId="52A54322" wp14:editId="290D424D">
                  <wp:extent cx="2343066" cy="1596941"/>
                  <wp:effectExtent l="0" t="0" r="63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25.grf.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8313" cy="1607333"/>
                          </a:xfrm>
                          <a:prstGeom prst="rect">
                            <a:avLst/>
                          </a:prstGeom>
                        </pic:spPr>
                      </pic:pic>
                    </a:graphicData>
                  </a:graphic>
                </wp:inline>
              </w:drawing>
            </w:r>
          </w:p>
        </w:tc>
      </w:tr>
    </w:tbl>
    <w:p w:rsidR="00E21863" w:rsidRDefault="00AE173B" w:rsidP="00AE173B">
      <w:pPr>
        <w:pStyle w:val="FigureCaption"/>
        <w:rPr>
          <w:rFonts w:eastAsia="Lucida Sans Unicode"/>
          <w:shd w:val="clear" w:color="auto" w:fill="FAFAFA"/>
        </w:rPr>
      </w:pPr>
      <w:r w:rsidRPr="00AE173B">
        <w:rPr>
          <w:b/>
          <w:shd w:val="clear" w:color="auto" w:fill="FAFAFA"/>
        </w:rPr>
        <w:t>FIGURE 2.</w:t>
      </w:r>
      <w:r w:rsidRPr="00AE173B">
        <w:rPr>
          <w:shd w:val="clear" w:color="auto" w:fill="FAFAFA"/>
        </w:rPr>
        <w:t xml:space="preserve"> </w:t>
      </w:r>
      <w:r>
        <w:rPr>
          <w:rFonts w:eastAsia="Lucida Sans Unicode"/>
          <w:shd w:val="clear" w:color="auto" w:fill="FAFAFA"/>
        </w:rPr>
        <w:t>Faraday</w:t>
      </w:r>
      <w:r w:rsidRPr="00AE173B">
        <w:rPr>
          <w:rFonts w:eastAsia="Lucida Sans Unicode"/>
          <w:shd w:val="clear" w:color="auto" w:fill="FAFAFA"/>
        </w:rPr>
        <w:t xml:space="preserve"> </w:t>
      </w:r>
      <w:r>
        <w:rPr>
          <w:rFonts w:eastAsia="Lucida Sans Unicode"/>
          <w:shd w:val="clear" w:color="auto" w:fill="FAFAFA"/>
        </w:rPr>
        <w:t>cup</w:t>
      </w:r>
      <w:r w:rsidRPr="00AE173B">
        <w:rPr>
          <w:rFonts w:eastAsia="Lucida Sans Unicode"/>
          <w:shd w:val="clear" w:color="auto" w:fill="FAFAFA"/>
        </w:rPr>
        <w:t xml:space="preserve"> </w:t>
      </w:r>
      <w:r>
        <w:rPr>
          <w:rFonts w:eastAsia="Lucida Sans Unicode"/>
          <w:shd w:val="clear" w:color="auto" w:fill="FAFAFA"/>
        </w:rPr>
        <w:t>and</w:t>
      </w:r>
      <w:r w:rsidRPr="00AE173B">
        <w:rPr>
          <w:rFonts w:eastAsia="Lucida Sans Unicode"/>
          <w:shd w:val="clear" w:color="auto" w:fill="FAFAFA"/>
        </w:rPr>
        <w:t xml:space="preserve"> </w:t>
      </w:r>
      <w:r>
        <w:rPr>
          <w:rFonts w:eastAsia="Lucida Sans Unicode"/>
          <w:shd w:val="clear" w:color="auto" w:fill="FAFAFA"/>
        </w:rPr>
        <w:t>puller</w:t>
      </w:r>
      <w:r w:rsidRPr="00AE173B">
        <w:rPr>
          <w:rFonts w:eastAsia="Lucida Sans Unicode"/>
          <w:shd w:val="clear" w:color="auto" w:fill="FAFAFA"/>
        </w:rPr>
        <w:t xml:space="preserve"> </w:t>
      </w:r>
      <w:r>
        <w:rPr>
          <w:rFonts w:eastAsia="Lucida Sans Unicode"/>
          <w:shd w:val="clear" w:color="auto" w:fill="FAFAFA"/>
        </w:rPr>
        <w:t>currents</w:t>
      </w:r>
      <w:r w:rsidRPr="00AE173B">
        <w:rPr>
          <w:rFonts w:eastAsia="Lucida Sans Unicode"/>
          <w:shd w:val="clear" w:color="auto" w:fill="FAFAFA"/>
        </w:rPr>
        <w:t xml:space="preserve"> </w:t>
      </w:r>
      <w:proofErr w:type="spellStart"/>
      <w:r w:rsidRPr="00AE173B">
        <w:rPr>
          <w:rFonts w:eastAsia="Lucida Sans Unicode"/>
          <w:shd w:val="clear" w:color="auto" w:fill="FAFAFA"/>
        </w:rPr>
        <w:t>oscillogram</w:t>
      </w:r>
      <w:r>
        <w:rPr>
          <w:rFonts w:eastAsia="Lucida Sans Unicode"/>
          <w:shd w:val="clear" w:color="auto" w:fill="FAFAFA"/>
        </w:rPr>
        <w:t>s</w:t>
      </w:r>
      <w:proofErr w:type="spellEnd"/>
      <w:r w:rsidRPr="00AE173B">
        <w:rPr>
          <w:shd w:val="clear" w:color="auto" w:fill="FAFAFA"/>
        </w:rPr>
        <w:t xml:space="preserve"> </w:t>
      </w:r>
      <w:r>
        <w:rPr>
          <w:shd w:val="clear" w:color="auto" w:fill="FAFAFA"/>
        </w:rPr>
        <w:t>in case of 55 kV extraction voltage (on the left)</w:t>
      </w:r>
      <w:r w:rsidR="00E21863" w:rsidRPr="00AE173B">
        <w:rPr>
          <w:shd w:val="clear" w:color="auto" w:fill="FAFAFA"/>
        </w:rPr>
        <w:t>.</w:t>
      </w:r>
      <w:r>
        <w:rPr>
          <w:shd w:val="clear" w:color="auto" w:fill="FAFAFA"/>
        </w:rPr>
        <w:t xml:space="preserve"> </w:t>
      </w:r>
      <w:r w:rsidR="00B8416C">
        <w:rPr>
          <w:shd w:val="clear" w:color="auto" w:fill="FAFAFA"/>
        </w:rPr>
        <w:t>A</w:t>
      </w:r>
      <w:r>
        <w:rPr>
          <w:rFonts w:eastAsia="Lucida Sans Unicode"/>
          <w:shd w:val="clear" w:color="auto" w:fill="FAFAFA"/>
        </w:rPr>
        <w:t>veraged current dependence on extraction voltage (on the right).</w:t>
      </w:r>
    </w:p>
    <w:p w:rsidR="0001767C" w:rsidRPr="0001767C" w:rsidRDefault="0001767C" w:rsidP="0001767C">
      <w:pPr>
        <w:pStyle w:val="Paragraph"/>
      </w:pPr>
    </w:p>
    <w:p w:rsidR="00E21863" w:rsidRDefault="009627C3" w:rsidP="00A55690">
      <w:pPr>
        <w:pStyle w:val="Paragraph"/>
      </w:pPr>
      <w:r>
        <w:t xml:space="preserve">As the next </w:t>
      </w:r>
      <w:proofErr w:type="gramStart"/>
      <w:r>
        <w:t>step</w:t>
      </w:r>
      <w:proofErr w:type="gramEnd"/>
      <w:r>
        <w:t xml:space="preserve"> the ion beam space distribution was studied using the small moveable Faraday cup. Current distribution was measured in the transverse plane to the beam direction at a few distances downstream the puller: 21, 30 and 40 mm.</w:t>
      </w:r>
      <w:r w:rsidR="00866C9C">
        <w:t xml:space="preserve"> Result are shown in figure </w:t>
      </w:r>
      <w:r w:rsidR="00A22E17" w:rsidRPr="00A22E17">
        <w:t>3</w:t>
      </w:r>
      <w:r w:rsidR="00866C9C">
        <w:t xml:space="preserve"> together with beam diameter dependence on the distance from the extraction system.</w:t>
      </w:r>
    </w:p>
    <w:tbl>
      <w:tblPr>
        <w:tblStyle w:val="a8"/>
        <w:tblpPr w:leftFromText="180" w:rightFromText="180" w:vertAnchor="text" w:horzAnchor="margin" w:tblpXSpec="center" w:tblpY="1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50457" w:rsidTr="0001767C">
        <w:tc>
          <w:tcPr>
            <w:tcW w:w="4675" w:type="dxa"/>
            <w:vAlign w:val="center"/>
          </w:tcPr>
          <w:p w:rsidR="0001767C" w:rsidRDefault="0001767C" w:rsidP="0001767C">
            <w:pPr>
              <w:pStyle w:val="Paragraph"/>
              <w:ind w:firstLine="0"/>
              <w:rPr>
                <w:shd w:val="clear" w:color="auto" w:fill="FAFAFA"/>
              </w:rPr>
            </w:pPr>
            <w:r>
              <w:rPr>
                <w:noProof/>
                <w:lang w:val="ru-RU" w:eastAsia="ru-RU"/>
              </w:rPr>
              <w:drawing>
                <wp:inline distT="0" distB="0" distL="0" distR="0" wp14:anchorId="35671B89" wp14:editId="4F982E6F">
                  <wp:extent cx="2401200" cy="1800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le beam 0.00-1.50m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1200" cy="1800000"/>
                          </a:xfrm>
                          <a:prstGeom prst="rect">
                            <a:avLst/>
                          </a:prstGeom>
                        </pic:spPr>
                      </pic:pic>
                    </a:graphicData>
                  </a:graphic>
                </wp:inline>
              </w:drawing>
            </w:r>
          </w:p>
        </w:tc>
        <w:tc>
          <w:tcPr>
            <w:tcW w:w="4675" w:type="dxa"/>
            <w:vAlign w:val="center"/>
          </w:tcPr>
          <w:p w:rsidR="0001767C" w:rsidRDefault="0001767C" w:rsidP="0001767C">
            <w:pPr>
              <w:pStyle w:val="Paragraph"/>
              <w:ind w:firstLine="0"/>
              <w:rPr>
                <w:shd w:val="clear" w:color="auto" w:fill="FAFAFA"/>
              </w:rPr>
            </w:pPr>
            <w:r>
              <w:rPr>
                <w:noProof/>
                <w:lang w:val="ru-RU" w:eastAsia="ru-RU"/>
              </w:rPr>
              <w:drawing>
                <wp:inline distT="0" distB="0" distL="0" distR="0" wp14:anchorId="1C3A4619" wp14:editId="029FE488">
                  <wp:extent cx="2404800" cy="1800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le Beam 0.00-1.50m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4800" cy="1800000"/>
                          </a:xfrm>
                          <a:prstGeom prst="rect">
                            <a:avLst/>
                          </a:prstGeom>
                        </pic:spPr>
                      </pic:pic>
                    </a:graphicData>
                  </a:graphic>
                </wp:inline>
              </w:drawing>
            </w:r>
          </w:p>
        </w:tc>
      </w:tr>
      <w:tr w:rsidR="00350457" w:rsidTr="0001767C">
        <w:tc>
          <w:tcPr>
            <w:tcW w:w="4675" w:type="dxa"/>
            <w:vAlign w:val="center"/>
          </w:tcPr>
          <w:p w:rsidR="0001767C" w:rsidRPr="004A0CE0" w:rsidRDefault="0001767C" w:rsidP="0001767C">
            <w:pPr>
              <w:pStyle w:val="Paragraph"/>
              <w:ind w:firstLine="0"/>
              <w:jc w:val="center"/>
              <w:rPr>
                <w:shd w:val="clear" w:color="auto" w:fill="FAFAFA"/>
              </w:rPr>
            </w:pPr>
            <w:r>
              <w:rPr>
                <w:shd w:val="clear" w:color="auto" w:fill="FAFAFA"/>
              </w:rPr>
              <w:t>a)</w:t>
            </w:r>
          </w:p>
        </w:tc>
        <w:tc>
          <w:tcPr>
            <w:tcW w:w="4675" w:type="dxa"/>
            <w:vAlign w:val="center"/>
          </w:tcPr>
          <w:p w:rsidR="0001767C" w:rsidRDefault="0001767C" w:rsidP="0001767C">
            <w:pPr>
              <w:pStyle w:val="Paragraph"/>
              <w:ind w:firstLine="0"/>
              <w:jc w:val="center"/>
              <w:rPr>
                <w:shd w:val="clear" w:color="auto" w:fill="FAFAFA"/>
              </w:rPr>
            </w:pPr>
            <w:r>
              <w:rPr>
                <w:shd w:val="clear" w:color="auto" w:fill="FAFAFA"/>
              </w:rPr>
              <w:t>b)</w:t>
            </w:r>
          </w:p>
        </w:tc>
      </w:tr>
      <w:tr w:rsidR="00350457" w:rsidTr="0001767C">
        <w:tc>
          <w:tcPr>
            <w:tcW w:w="4675" w:type="dxa"/>
            <w:vAlign w:val="center"/>
          </w:tcPr>
          <w:p w:rsidR="0001767C" w:rsidRDefault="0001767C" w:rsidP="0001767C">
            <w:pPr>
              <w:pStyle w:val="Paragraph"/>
              <w:ind w:firstLine="0"/>
              <w:rPr>
                <w:shd w:val="clear" w:color="auto" w:fill="FAFAFA"/>
              </w:rPr>
            </w:pPr>
            <w:r>
              <w:rPr>
                <w:noProof/>
                <w:lang w:val="ru-RU" w:eastAsia="ru-RU"/>
              </w:rPr>
              <w:drawing>
                <wp:inline distT="0" distB="0" distL="0" distR="0" wp14:anchorId="4B0EF8C4" wp14:editId="186A5C5D">
                  <wp:extent cx="2404800" cy="1800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ms.jpg"/>
                          <pic:cNvPicPr/>
                        </pic:nvPicPr>
                        <pic:blipFill>
                          <a:blip r:embed="rId11">
                            <a:extLst>
                              <a:ext uri="{28A0092B-C50C-407E-A947-70E740481C1C}">
                                <a14:useLocalDpi xmlns:a14="http://schemas.microsoft.com/office/drawing/2010/main" val="0"/>
                              </a:ext>
                            </a:extLst>
                          </a:blip>
                          <a:stretch>
                            <a:fillRect/>
                          </a:stretch>
                        </pic:blipFill>
                        <pic:spPr>
                          <a:xfrm>
                            <a:off x="0" y="0"/>
                            <a:ext cx="2404800" cy="1800000"/>
                          </a:xfrm>
                          <a:prstGeom prst="rect">
                            <a:avLst/>
                          </a:prstGeom>
                        </pic:spPr>
                      </pic:pic>
                    </a:graphicData>
                  </a:graphic>
                </wp:inline>
              </w:drawing>
            </w:r>
          </w:p>
        </w:tc>
        <w:tc>
          <w:tcPr>
            <w:tcW w:w="4675" w:type="dxa"/>
            <w:vAlign w:val="center"/>
          </w:tcPr>
          <w:p w:rsidR="0001767C" w:rsidRDefault="00350457" w:rsidP="00350457">
            <w:pPr>
              <w:pStyle w:val="Paragraph"/>
              <w:ind w:firstLine="0"/>
              <w:jc w:val="center"/>
              <w:rPr>
                <w:shd w:val="clear" w:color="auto" w:fill="FAFAFA"/>
              </w:rPr>
            </w:pPr>
            <w:r>
              <w:rPr>
                <w:noProof/>
                <w:shd w:val="clear" w:color="auto" w:fill="FAFAFA"/>
                <w:lang w:val="ru-RU" w:eastAsia="ru-RU"/>
              </w:rPr>
              <w:drawing>
                <wp:inline distT="0" distB="0" distL="0" distR="0">
                  <wp:extent cx="2114550" cy="1669728"/>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5214" cy="1686045"/>
                          </a:xfrm>
                          <a:prstGeom prst="rect">
                            <a:avLst/>
                          </a:prstGeom>
                        </pic:spPr>
                      </pic:pic>
                    </a:graphicData>
                  </a:graphic>
                </wp:inline>
              </w:drawing>
            </w:r>
          </w:p>
        </w:tc>
      </w:tr>
      <w:tr w:rsidR="00350457" w:rsidTr="0001767C">
        <w:tc>
          <w:tcPr>
            <w:tcW w:w="4675" w:type="dxa"/>
            <w:vAlign w:val="center"/>
          </w:tcPr>
          <w:p w:rsidR="0001767C" w:rsidRDefault="0001767C" w:rsidP="0001767C">
            <w:pPr>
              <w:pStyle w:val="Paragraph"/>
              <w:ind w:firstLine="0"/>
              <w:jc w:val="center"/>
              <w:rPr>
                <w:shd w:val="clear" w:color="auto" w:fill="FAFAFA"/>
              </w:rPr>
            </w:pPr>
            <w:r>
              <w:rPr>
                <w:shd w:val="clear" w:color="auto" w:fill="FAFAFA"/>
              </w:rPr>
              <w:t>c)</w:t>
            </w:r>
          </w:p>
        </w:tc>
        <w:tc>
          <w:tcPr>
            <w:tcW w:w="4675" w:type="dxa"/>
            <w:vAlign w:val="center"/>
          </w:tcPr>
          <w:p w:rsidR="0001767C" w:rsidRDefault="0001767C" w:rsidP="0001767C">
            <w:pPr>
              <w:pStyle w:val="Paragraph"/>
              <w:ind w:firstLine="0"/>
              <w:jc w:val="center"/>
              <w:rPr>
                <w:shd w:val="clear" w:color="auto" w:fill="FAFAFA"/>
              </w:rPr>
            </w:pPr>
            <w:r>
              <w:rPr>
                <w:shd w:val="clear" w:color="auto" w:fill="FAFAFA"/>
              </w:rPr>
              <w:t>d)</w:t>
            </w:r>
          </w:p>
        </w:tc>
      </w:tr>
    </w:tbl>
    <w:p w:rsidR="0001767C" w:rsidRDefault="0001767C" w:rsidP="0001767C">
      <w:pPr>
        <w:pStyle w:val="FigureCaption"/>
      </w:pPr>
      <w:r w:rsidRPr="00B8416C">
        <w:rPr>
          <w:b/>
          <w:shd w:val="clear" w:color="auto" w:fill="FAFAFA"/>
        </w:rPr>
        <w:t xml:space="preserve">FIGURE </w:t>
      </w:r>
      <w:r w:rsidRPr="004A0CE0">
        <w:rPr>
          <w:b/>
          <w:shd w:val="clear" w:color="auto" w:fill="FAFAFA"/>
        </w:rPr>
        <w:t>3</w:t>
      </w:r>
      <w:r w:rsidRPr="00B8416C">
        <w:rPr>
          <w:b/>
          <w:shd w:val="clear" w:color="auto" w:fill="FAFAFA"/>
        </w:rPr>
        <w:t>.</w:t>
      </w:r>
      <w:r>
        <w:rPr>
          <w:shd w:val="clear" w:color="auto" w:fill="FAFAFA"/>
        </w:rPr>
        <w:t xml:space="preserve"> Beam c</w:t>
      </w:r>
      <w:r>
        <w:t xml:space="preserve">urrent distribution in the transverse plane to the beam direction at 21 mm – a), 30 mm – b) and 40 mm – c) downstream the puller and </w:t>
      </w:r>
      <w:proofErr w:type="gramStart"/>
      <w:r>
        <w:t>ion beam diameter dependence</w:t>
      </w:r>
      <w:proofErr w:type="gramEnd"/>
      <w:r>
        <w:t xml:space="preserve"> on the distance from the extraction system – d).</w:t>
      </w:r>
    </w:p>
    <w:p w:rsidR="00AE7444" w:rsidRDefault="0001767C" w:rsidP="00E21863">
      <w:pPr>
        <w:pStyle w:val="Paragraph"/>
        <w:rPr>
          <w:shd w:val="clear" w:color="auto" w:fill="FAFAFA"/>
        </w:rPr>
      </w:pPr>
      <w:r>
        <w:rPr>
          <w:rFonts w:eastAsia="Lucida Sans Unicode"/>
        </w:rPr>
        <w:lastRenderedPageBreak/>
        <w:t xml:space="preserve">Data in figure 3 - d) shows that </w:t>
      </w:r>
      <w:r w:rsidRPr="0001767C">
        <w:rPr>
          <w:rFonts w:eastAsia="Lucida Sans Unicode"/>
        </w:rPr>
        <w:t>beam divergence</w:t>
      </w:r>
      <w:r>
        <w:rPr>
          <w:rFonts w:eastAsia="Lucida Sans Unicode"/>
        </w:rPr>
        <w:t xml:space="preserve"> grows with the distanc</w:t>
      </w:r>
      <w:r w:rsidR="00A4524C">
        <w:rPr>
          <w:rFonts w:eastAsia="Lucida Sans Unicode"/>
        </w:rPr>
        <w:t>e from extraction system. It happens due to not compensated space charge in the beam and that means that for future applications it would be necessary to use 3-electrode extraction system to avoid electron drain from the beam back to plasma.</w:t>
      </w:r>
      <w:r w:rsidR="008E4C81">
        <w:rPr>
          <w:rFonts w:eastAsia="Lucida Sans Unicode"/>
        </w:rPr>
        <w:t xml:space="preserve"> </w:t>
      </w:r>
      <w:r w:rsidR="00866C9C">
        <w:rPr>
          <w:rFonts w:eastAsia="Lucida Sans Unicode"/>
        </w:rPr>
        <w:t>Then</w:t>
      </w:r>
      <w:r w:rsidR="00866C9C" w:rsidRPr="00AE173B">
        <w:rPr>
          <w:rFonts w:eastAsia="Lucida Sans Unicode"/>
        </w:rPr>
        <w:t xml:space="preserve"> extractor with </w:t>
      </w:r>
      <w:r w:rsidR="00866C9C">
        <w:rPr>
          <w:rFonts w:eastAsia="Lucida Sans Unicode"/>
        </w:rPr>
        <w:t>7</w:t>
      </w:r>
      <w:r w:rsidR="00866C9C" w:rsidRPr="00AE173B">
        <w:rPr>
          <w:rFonts w:eastAsia="Lucida Sans Unicode"/>
        </w:rPr>
        <w:t xml:space="preserve"> mm plasma electrode aperture and </w:t>
      </w:r>
      <w:r w:rsidR="00866C9C">
        <w:rPr>
          <w:rFonts w:eastAsia="Lucida Sans Unicode"/>
        </w:rPr>
        <w:t>22</w:t>
      </w:r>
      <w:r w:rsidR="00866C9C" w:rsidRPr="00AE173B">
        <w:rPr>
          <w:rFonts w:eastAsia="Lucida Sans Unicode"/>
        </w:rPr>
        <w:t xml:space="preserve"> mm puller aperture with 11 mm gap </w:t>
      </w:r>
      <w:proofErr w:type="gramStart"/>
      <w:r w:rsidR="00866C9C" w:rsidRPr="00AE173B">
        <w:rPr>
          <w:rFonts w:eastAsia="Lucida Sans Unicode"/>
        </w:rPr>
        <w:t>was used</w:t>
      </w:r>
      <w:proofErr w:type="gramEnd"/>
      <w:r w:rsidR="00866C9C" w:rsidRPr="00AE173B">
        <w:rPr>
          <w:rFonts w:eastAsia="Lucida Sans Unicode"/>
        </w:rPr>
        <w:t>.</w:t>
      </w:r>
      <w:r w:rsidR="00866C9C">
        <w:rPr>
          <w:rFonts w:eastAsia="Lucida Sans Unicode"/>
        </w:rPr>
        <w:t xml:space="preserve"> </w:t>
      </w:r>
      <w:r w:rsidR="00A22E17">
        <w:rPr>
          <w:rFonts w:eastAsia="Lucida Sans Unicode"/>
        </w:rPr>
        <w:t>The maximum achieved ion beam current at 55 kV of acceleration voltage was 380 mA</w:t>
      </w:r>
      <w:r w:rsidR="00866C9C" w:rsidRPr="00AE173B">
        <w:rPr>
          <w:rFonts w:eastAsia="Lucida Sans Unicode"/>
        </w:rPr>
        <w:t>.</w:t>
      </w:r>
      <w:r w:rsidR="008E4C81">
        <w:rPr>
          <w:rFonts w:eastAsia="Lucida Sans Unicode"/>
        </w:rPr>
        <w:t xml:space="preserve"> </w:t>
      </w:r>
      <w:r w:rsidR="00866C9C">
        <w:rPr>
          <w:rFonts w:eastAsia="Lucida Sans Unicode"/>
        </w:rPr>
        <w:t>And as the last step</w:t>
      </w:r>
      <w:r w:rsidR="00866C9C" w:rsidRPr="00AE173B">
        <w:rPr>
          <w:rFonts w:eastAsia="Lucida Sans Unicode"/>
        </w:rPr>
        <w:t xml:space="preserve"> extractor with </w:t>
      </w:r>
      <w:r w:rsidR="00866C9C">
        <w:rPr>
          <w:rFonts w:eastAsia="Lucida Sans Unicode"/>
        </w:rPr>
        <w:t>10</w:t>
      </w:r>
      <w:r w:rsidR="00866C9C" w:rsidRPr="00AE173B">
        <w:rPr>
          <w:rFonts w:eastAsia="Lucida Sans Unicode"/>
        </w:rPr>
        <w:t xml:space="preserve"> mm plasma electrode aperture and </w:t>
      </w:r>
      <w:r w:rsidR="00866C9C">
        <w:rPr>
          <w:rFonts w:eastAsia="Lucida Sans Unicode"/>
        </w:rPr>
        <w:t>22</w:t>
      </w:r>
      <w:r w:rsidR="00866C9C" w:rsidRPr="00AE173B">
        <w:rPr>
          <w:rFonts w:eastAsia="Lucida Sans Unicode"/>
        </w:rPr>
        <w:t xml:space="preserve"> mm puller aperture with 11 mm gap </w:t>
      </w:r>
      <w:proofErr w:type="gramStart"/>
      <w:r w:rsidR="00866C9C" w:rsidRPr="00AE173B">
        <w:rPr>
          <w:rFonts w:eastAsia="Lucida Sans Unicode"/>
        </w:rPr>
        <w:t>was used</w:t>
      </w:r>
      <w:proofErr w:type="gramEnd"/>
      <w:r w:rsidR="00866C9C" w:rsidRPr="00AE173B">
        <w:rPr>
          <w:rFonts w:eastAsia="Lucida Sans Unicode"/>
        </w:rPr>
        <w:t>.</w:t>
      </w:r>
      <w:r w:rsidR="00866C9C">
        <w:rPr>
          <w:rFonts w:eastAsia="Lucida Sans Unicode"/>
        </w:rPr>
        <w:t xml:space="preserve"> </w:t>
      </w:r>
      <w:r w:rsidR="00A22E17">
        <w:rPr>
          <w:rFonts w:eastAsia="Lucida Sans Unicode"/>
        </w:rPr>
        <w:t>The maximum achieved ion beam current at 55 kV of acceleration voltage was 500 mA</w:t>
      </w:r>
      <w:r w:rsidR="00A22E17" w:rsidRPr="00AE173B">
        <w:rPr>
          <w:rFonts w:eastAsia="Lucida Sans Unicode"/>
        </w:rPr>
        <w:t>.</w:t>
      </w:r>
      <w:r w:rsidR="008E4C81">
        <w:rPr>
          <w:rFonts w:eastAsia="Lucida Sans Unicode"/>
        </w:rPr>
        <w:t xml:space="preserve"> </w:t>
      </w:r>
      <w:r w:rsidR="0036343E">
        <w:rPr>
          <w:shd w:val="clear" w:color="auto" w:fill="FAFAFA"/>
        </w:rPr>
        <w:t xml:space="preserve">Ion beam emittance study was performed </w:t>
      </w:r>
      <w:r w:rsidR="0036343E">
        <w:rPr>
          <w:rFonts w:eastAsia="Lucida Sans Unicode"/>
          <w:color w:val="000000"/>
        </w:rPr>
        <w:t>using</w:t>
      </w:r>
      <w:r w:rsidR="0036343E" w:rsidRPr="009627C3">
        <w:rPr>
          <w:rFonts w:eastAsia="Lucida Sans Unicode"/>
          <w:color w:val="000000"/>
        </w:rPr>
        <w:t xml:space="preserve"> “</w:t>
      </w:r>
      <w:r w:rsidR="0036343E">
        <w:rPr>
          <w:rFonts w:eastAsia="Lucida Sans Unicode"/>
          <w:color w:val="000000"/>
        </w:rPr>
        <w:t>pepper</w:t>
      </w:r>
      <w:r w:rsidR="0036343E" w:rsidRPr="009627C3">
        <w:rPr>
          <w:rFonts w:eastAsia="Lucida Sans Unicode"/>
          <w:color w:val="000000"/>
        </w:rPr>
        <w:t>-</w:t>
      </w:r>
      <w:r w:rsidR="0036343E">
        <w:rPr>
          <w:rFonts w:eastAsia="Lucida Sans Unicode"/>
          <w:color w:val="000000"/>
        </w:rPr>
        <w:t>pot</w:t>
      </w:r>
      <w:r w:rsidR="0036343E" w:rsidRPr="009627C3">
        <w:rPr>
          <w:rFonts w:eastAsia="Lucida Sans Unicode"/>
          <w:color w:val="000000"/>
        </w:rPr>
        <w:t xml:space="preserve">” </w:t>
      </w:r>
      <w:r w:rsidR="0036343E">
        <w:rPr>
          <w:rFonts w:eastAsia="Lucida Sans Unicode"/>
          <w:color w:val="000000"/>
        </w:rPr>
        <w:t>method.</w:t>
      </w:r>
      <w:r w:rsidR="00A4524C">
        <w:rPr>
          <w:rFonts w:eastAsia="Lucida Sans Unicode"/>
          <w:color w:val="000000"/>
        </w:rPr>
        <w:t xml:space="preserve"> Paper-pot plate </w:t>
      </w:r>
      <w:proofErr w:type="gramStart"/>
      <w:r w:rsidR="00A4524C">
        <w:rPr>
          <w:rFonts w:eastAsia="Lucida Sans Unicode"/>
          <w:color w:val="000000"/>
        </w:rPr>
        <w:t>was placed</w:t>
      </w:r>
      <w:proofErr w:type="gramEnd"/>
      <w:r w:rsidR="00A4524C">
        <w:rPr>
          <w:rFonts w:eastAsia="Lucida Sans Unicode"/>
          <w:color w:val="000000"/>
        </w:rPr>
        <w:t xml:space="preserve"> in 1 cm behind puller end.</w:t>
      </w:r>
      <w:r w:rsidR="0036343E">
        <w:rPr>
          <w:shd w:val="clear" w:color="auto" w:fill="FAFAFA"/>
        </w:rPr>
        <w:t xml:space="preserve"> In case of all extraction system </w:t>
      </w:r>
      <w:proofErr w:type="gramStart"/>
      <w:r w:rsidR="0036343E">
        <w:rPr>
          <w:shd w:val="clear" w:color="auto" w:fill="FAFAFA"/>
        </w:rPr>
        <w:t>configurations</w:t>
      </w:r>
      <w:proofErr w:type="gramEnd"/>
      <w:r w:rsidR="0036343E">
        <w:rPr>
          <w:shd w:val="clear" w:color="auto" w:fill="FAFAFA"/>
        </w:rPr>
        <w:t xml:space="preserve"> measurements gave the same result. Example of the </w:t>
      </w:r>
      <w:r w:rsidR="0036343E">
        <w:rPr>
          <w:rFonts w:eastAsia="Lucida Sans Unicode"/>
          <w:color w:val="000000"/>
        </w:rPr>
        <w:t xml:space="preserve">reconstructed emittance diagram </w:t>
      </w:r>
      <w:proofErr w:type="gramStart"/>
      <w:r w:rsidR="0036343E">
        <w:rPr>
          <w:rFonts w:eastAsia="Lucida Sans Unicode"/>
          <w:color w:val="000000"/>
        </w:rPr>
        <w:t>is shown</w:t>
      </w:r>
      <w:proofErr w:type="gramEnd"/>
      <w:r w:rsidR="0036343E">
        <w:rPr>
          <w:rFonts w:eastAsia="Lucida Sans Unicode"/>
          <w:color w:val="000000"/>
        </w:rPr>
        <w:t xml:space="preserve"> in figure </w:t>
      </w:r>
      <w:r w:rsidR="00A22E17">
        <w:rPr>
          <w:rFonts w:eastAsia="Lucida Sans Unicode"/>
          <w:color w:val="000000"/>
        </w:rPr>
        <w:t>4</w:t>
      </w:r>
      <w:r w:rsidR="0036343E">
        <w:rPr>
          <w:rFonts w:eastAsia="Lucida Sans Unicode"/>
          <w:color w:val="000000"/>
        </w:rPr>
        <w:t>. The</w:t>
      </w:r>
      <w:r w:rsidR="0036343E" w:rsidRPr="009627C3">
        <w:rPr>
          <w:rFonts w:eastAsia="Lucida Sans Unicode"/>
          <w:color w:val="000000"/>
        </w:rPr>
        <w:t xml:space="preserve"> </w:t>
      </w:r>
      <w:proofErr w:type="spellStart"/>
      <w:r w:rsidR="0036343E">
        <w:rPr>
          <w:rFonts w:eastAsia="Lucida Sans Unicode"/>
          <w:color w:val="000000"/>
        </w:rPr>
        <w:t>rms</w:t>
      </w:r>
      <w:proofErr w:type="spellEnd"/>
      <w:r w:rsidR="0036343E" w:rsidRPr="009627C3">
        <w:rPr>
          <w:rFonts w:eastAsia="Lucida Sans Unicode"/>
          <w:color w:val="000000"/>
        </w:rPr>
        <w:t xml:space="preserve"> </w:t>
      </w:r>
      <w:r w:rsidR="0036343E">
        <w:rPr>
          <w:rFonts w:eastAsia="Lucida Sans Unicode"/>
          <w:color w:val="000000"/>
        </w:rPr>
        <w:t>normalized</w:t>
      </w:r>
      <w:r w:rsidR="0036343E" w:rsidRPr="009627C3">
        <w:rPr>
          <w:rFonts w:eastAsia="Lucida Sans Unicode"/>
          <w:color w:val="000000"/>
        </w:rPr>
        <w:t xml:space="preserve"> </w:t>
      </w:r>
      <w:r w:rsidR="0036343E">
        <w:rPr>
          <w:rFonts w:eastAsia="Lucida Sans Unicode"/>
          <w:color w:val="000000"/>
        </w:rPr>
        <w:t>emittance</w:t>
      </w:r>
      <w:r w:rsidR="0036343E" w:rsidRPr="009627C3">
        <w:rPr>
          <w:rFonts w:eastAsia="Lucida Sans Unicode"/>
          <w:color w:val="000000"/>
        </w:rPr>
        <w:t xml:space="preserve"> </w:t>
      </w:r>
      <w:r w:rsidR="0036343E">
        <w:rPr>
          <w:rFonts w:eastAsia="Lucida Sans Unicode"/>
          <w:color w:val="000000"/>
        </w:rPr>
        <w:t>appeared</w:t>
      </w:r>
      <w:r w:rsidR="0036343E" w:rsidRPr="009627C3">
        <w:rPr>
          <w:rFonts w:eastAsia="Lucida Sans Unicode"/>
          <w:color w:val="000000"/>
        </w:rPr>
        <w:t xml:space="preserve"> </w:t>
      </w:r>
      <w:r w:rsidR="0036343E">
        <w:rPr>
          <w:rFonts w:eastAsia="Lucida Sans Unicode"/>
          <w:color w:val="000000"/>
        </w:rPr>
        <w:t>to</w:t>
      </w:r>
      <w:r w:rsidR="0036343E" w:rsidRPr="009627C3">
        <w:rPr>
          <w:rFonts w:eastAsia="Lucida Sans Unicode"/>
          <w:color w:val="000000"/>
        </w:rPr>
        <w:t xml:space="preserve"> </w:t>
      </w:r>
      <w:r w:rsidR="0036343E">
        <w:rPr>
          <w:rFonts w:eastAsia="Lucida Sans Unicode"/>
          <w:color w:val="000000"/>
        </w:rPr>
        <w:t>be</w:t>
      </w:r>
      <w:r w:rsidR="0036343E" w:rsidRPr="009627C3">
        <w:rPr>
          <w:rFonts w:eastAsia="Lucida Sans Unicode"/>
          <w:color w:val="000000"/>
        </w:rPr>
        <w:t xml:space="preserve"> 0.03 </w:t>
      </w:r>
      <w:r w:rsidR="0036343E">
        <w:rPr>
          <w:rFonts w:eastAsia="Lucida Sans Unicode"/>
          <w:color w:val="000000"/>
          <w:lang w:val="ru-RU"/>
        </w:rPr>
        <w:t>π</w:t>
      </w:r>
      <w:r w:rsidR="0036343E" w:rsidRPr="009627C3">
        <w:rPr>
          <w:rFonts w:eastAsia="Lucida Sans Unicode"/>
          <w:color w:val="000000"/>
        </w:rPr>
        <w:t>∙</w:t>
      </w:r>
      <w:r w:rsidR="0036343E">
        <w:rPr>
          <w:rFonts w:eastAsia="Lucida Sans Unicode"/>
          <w:color w:val="000000"/>
        </w:rPr>
        <w:t>mm</w:t>
      </w:r>
      <w:r w:rsidR="0036343E" w:rsidRPr="009627C3">
        <w:rPr>
          <w:rFonts w:eastAsia="Lucida Sans Unicode"/>
          <w:color w:val="000000"/>
        </w:rPr>
        <w:t>∙</w:t>
      </w:r>
      <w:r w:rsidR="0036343E">
        <w:rPr>
          <w:rFonts w:eastAsia="Lucida Sans Unicode"/>
          <w:color w:val="000000"/>
        </w:rPr>
        <w:t xml:space="preserve">mrad. </w:t>
      </w:r>
      <w:r w:rsidR="00A4524C">
        <w:rPr>
          <w:rFonts w:eastAsia="Lucida Sans Unicode"/>
          <w:color w:val="000000"/>
        </w:rPr>
        <w:t xml:space="preserve">As it was mentioned above </w:t>
      </w:r>
      <w:proofErr w:type="gramStart"/>
      <w:r w:rsidR="00A4524C">
        <w:rPr>
          <w:rFonts w:eastAsia="Lucida Sans Unicode"/>
          <w:color w:val="000000"/>
        </w:rPr>
        <w:t>beam</w:t>
      </w:r>
      <w:proofErr w:type="gramEnd"/>
      <w:r w:rsidR="00A4524C">
        <w:rPr>
          <w:rFonts w:eastAsia="Lucida Sans Unicode"/>
          <w:color w:val="000000"/>
        </w:rPr>
        <w:t xml:space="preserve"> quality </w:t>
      </w:r>
      <w:r w:rsidR="00E140B5">
        <w:rPr>
          <w:rFonts w:eastAsia="Lucida Sans Unicode"/>
          <w:color w:val="000000"/>
        </w:rPr>
        <w:t xml:space="preserve">on the longer distance from the puller </w:t>
      </w:r>
      <w:r w:rsidR="00A4524C">
        <w:rPr>
          <w:rFonts w:eastAsia="Lucida Sans Unicode"/>
          <w:color w:val="000000"/>
        </w:rPr>
        <w:t>suffer</w:t>
      </w:r>
      <w:r w:rsidR="00E140B5">
        <w:rPr>
          <w:rFonts w:eastAsia="Lucida Sans Unicode"/>
          <w:color w:val="000000"/>
        </w:rPr>
        <w:t>s</w:t>
      </w:r>
      <w:r w:rsidR="00A4524C">
        <w:rPr>
          <w:rFonts w:eastAsia="Lucida Sans Unicode"/>
          <w:color w:val="000000"/>
        </w:rPr>
        <w:t xml:space="preserve"> from the not compensated space charge and in future development must be corrected with the third electrode in extraction system. </w:t>
      </w:r>
      <w:r w:rsidR="0036343E">
        <w:rPr>
          <w:rFonts w:eastAsia="Lucida Sans Unicode"/>
          <w:color w:val="000000"/>
        </w:rPr>
        <w:t xml:space="preserve">Equivalence of emittance for different extraction apertures means that experimental value is determined by measuring precision and the real emittance value must be </w:t>
      </w:r>
      <w:proofErr w:type="spellStart"/>
      <w:r w:rsidR="0036343E">
        <w:rPr>
          <w:rFonts w:eastAsia="Lucida Sans Unicode"/>
          <w:color w:val="000000"/>
        </w:rPr>
        <w:t>lower.</w:t>
      </w:r>
      <w:r w:rsidR="00AE7444">
        <w:rPr>
          <w:shd w:val="clear" w:color="auto" w:fill="FAFAFA"/>
        </w:rPr>
        <w:t>Also</w:t>
      </w:r>
      <w:proofErr w:type="spellEnd"/>
      <w:r w:rsidR="00AE7444">
        <w:rPr>
          <w:shd w:val="clear" w:color="auto" w:fill="FAFAFA"/>
        </w:rPr>
        <w:t xml:space="preserve"> experimental results with hydrogen and deuterium were also similar, signal difference was not observed in case of </w:t>
      </w:r>
      <w:proofErr w:type="gramStart"/>
      <w:r w:rsidR="00AE7444">
        <w:rPr>
          <w:shd w:val="clear" w:color="auto" w:fill="FAFAFA"/>
        </w:rPr>
        <w:t>pulse to pulse</w:t>
      </w:r>
      <w:proofErr w:type="gramEnd"/>
      <w:r w:rsidR="00AE7444">
        <w:rPr>
          <w:shd w:val="clear" w:color="auto" w:fill="FAFAFA"/>
        </w:rPr>
        <w:t xml:space="preserve"> stability about 10 %. In</w:t>
      </w:r>
      <w:r w:rsidR="00AE7444" w:rsidRPr="00905964">
        <w:rPr>
          <w:shd w:val="clear" w:color="auto" w:fill="FAFAFA"/>
        </w:rPr>
        <w:t xml:space="preserve"> </w:t>
      </w:r>
      <w:r w:rsidR="00AE7444">
        <w:rPr>
          <w:shd w:val="clear" w:color="auto" w:fill="FAFAFA"/>
        </w:rPr>
        <w:t>frames</w:t>
      </w:r>
      <w:r w:rsidR="00AE7444" w:rsidRPr="00905964">
        <w:rPr>
          <w:shd w:val="clear" w:color="auto" w:fill="FAFAFA"/>
        </w:rPr>
        <w:t xml:space="preserve"> </w:t>
      </w:r>
      <w:r w:rsidR="00AE7444">
        <w:rPr>
          <w:shd w:val="clear" w:color="auto" w:fill="FAFAFA"/>
        </w:rPr>
        <w:t>of</w:t>
      </w:r>
      <w:r w:rsidR="00AE7444" w:rsidRPr="00905964">
        <w:rPr>
          <w:shd w:val="clear" w:color="auto" w:fill="FAFAFA"/>
        </w:rPr>
        <w:t xml:space="preserve"> </w:t>
      </w:r>
      <w:r w:rsidR="00AE7444">
        <w:rPr>
          <w:shd w:val="clear" w:color="auto" w:fill="FAFAFA"/>
        </w:rPr>
        <w:t>performed</w:t>
      </w:r>
      <w:r w:rsidR="00AE7444" w:rsidRPr="00905964">
        <w:rPr>
          <w:shd w:val="clear" w:color="auto" w:fill="FAFAFA"/>
        </w:rPr>
        <w:t xml:space="preserve"> </w:t>
      </w:r>
      <w:r w:rsidR="00AE7444">
        <w:rPr>
          <w:shd w:val="clear" w:color="auto" w:fill="FAFAFA"/>
        </w:rPr>
        <w:t>experimental</w:t>
      </w:r>
      <w:r w:rsidR="00AE7444" w:rsidRPr="00905964">
        <w:rPr>
          <w:shd w:val="clear" w:color="auto" w:fill="FAFAFA"/>
        </w:rPr>
        <w:t xml:space="preserve"> </w:t>
      </w:r>
      <w:r w:rsidR="00AE7444">
        <w:rPr>
          <w:shd w:val="clear" w:color="auto" w:fill="FAFAFA"/>
        </w:rPr>
        <w:t>studies</w:t>
      </w:r>
      <w:r w:rsidR="00AE7444" w:rsidRPr="00905964">
        <w:rPr>
          <w:shd w:val="clear" w:color="auto" w:fill="FAFAFA"/>
        </w:rPr>
        <w:t xml:space="preserve"> </w:t>
      </w:r>
      <w:r w:rsidR="00AE7444">
        <w:rPr>
          <w:shd w:val="clear" w:color="auto" w:fill="FAFAFA"/>
        </w:rPr>
        <w:t>hydrogen ion beams with current up to</w:t>
      </w:r>
      <w:r w:rsidR="00AE7444" w:rsidRPr="00905964">
        <w:rPr>
          <w:shd w:val="clear" w:color="auto" w:fill="FAFAFA"/>
        </w:rPr>
        <w:t xml:space="preserve"> 500 </w:t>
      </w:r>
      <w:r w:rsidR="00AE7444">
        <w:rPr>
          <w:shd w:val="clear" w:color="auto" w:fill="FAFAFA"/>
        </w:rPr>
        <w:t>mA</w:t>
      </w:r>
      <w:r w:rsidR="00AE7444" w:rsidRPr="00905964">
        <w:rPr>
          <w:shd w:val="clear" w:color="auto" w:fill="FAFAFA"/>
        </w:rPr>
        <w:t xml:space="preserve"> </w:t>
      </w:r>
      <w:r w:rsidR="00AE7444">
        <w:rPr>
          <w:shd w:val="clear" w:color="auto" w:fill="FAFAFA"/>
        </w:rPr>
        <w:t xml:space="preserve">and </w:t>
      </w:r>
      <w:proofErr w:type="spellStart"/>
      <w:r w:rsidR="00AE7444">
        <w:rPr>
          <w:shd w:val="clear" w:color="auto" w:fill="FAFAFA"/>
        </w:rPr>
        <w:t>rms</w:t>
      </w:r>
      <w:proofErr w:type="spellEnd"/>
      <w:r w:rsidR="00AE7444">
        <w:rPr>
          <w:shd w:val="clear" w:color="auto" w:fill="FAFAFA"/>
        </w:rPr>
        <w:t xml:space="preserve"> normalized emittance </w:t>
      </w:r>
      <w:r w:rsidR="00AE7444" w:rsidRPr="00905964">
        <w:rPr>
          <w:shd w:val="clear" w:color="auto" w:fill="FAFAFA"/>
        </w:rPr>
        <w:t xml:space="preserve">0.03 </w:t>
      </w:r>
      <w:r w:rsidR="00AE7444">
        <w:rPr>
          <w:shd w:val="clear" w:color="auto" w:fill="FAFAFA"/>
        </w:rPr>
        <w:t>π</w:t>
      </w:r>
      <w:r w:rsidR="00AE7444" w:rsidRPr="00905964">
        <w:rPr>
          <w:shd w:val="clear" w:color="auto" w:fill="FAFAFA"/>
        </w:rPr>
        <w:t>·</w:t>
      </w:r>
      <w:r w:rsidR="00AE7444">
        <w:rPr>
          <w:shd w:val="clear" w:color="auto" w:fill="FAFAFA"/>
        </w:rPr>
        <w:t>mm</w:t>
      </w:r>
      <w:r w:rsidR="00AE7444" w:rsidRPr="00905964">
        <w:rPr>
          <w:shd w:val="clear" w:color="auto" w:fill="FAFAFA"/>
        </w:rPr>
        <w:t>·</w:t>
      </w:r>
      <w:r w:rsidR="00AE7444">
        <w:rPr>
          <w:shd w:val="clear" w:color="auto" w:fill="FAFAFA"/>
        </w:rPr>
        <w:t>mrad were produced</w:t>
      </w:r>
      <w:r w:rsidR="00AE7444" w:rsidRPr="00905964">
        <w:rPr>
          <w:shd w:val="clear" w:color="auto" w:fill="FAFAFA"/>
        </w:rPr>
        <w:t xml:space="preserve">. </w:t>
      </w:r>
      <w:r w:rsidR="00AE7444">
        <w:rPr>
          <w:shd w:val="clear" w:color="auto" w:fill="FAFAFA"/>
        </w:rPr>
        <w:t xml:space="preserve">In comparison with results previously obtained at SMIS 37 facility in case of 75 GHz gyrotron radiation </w:t>
      </w:r>
      <w:proofErr w:type="gramStart"/>
      <w:r w:rsidR="00AE7444">
        <w:rPr>
          <w:shd w:val="clear" w:color="auto" w:fill="FAFAFA"/>
        </w:rPr>
        <w:t>frequency</w:t>
      </w:r>
      <w:proofErr w:type="gramEnd"/>
      <w:r w:rsidR="00AE7444">
        <w:rPr>
          <w:shd w:val="clear" w:color="auto" w:fill="FAFAFA"/>
        </w:rPr>
        <w:t xml:space="preserve"> it is possible to produce ion beams with much higher brightness.</w:t>
      </w:r>
    </w:p>
    <w:p w:rsidR="004A0CE0" w:rsidRPr="004A0CE0" w:rsidRDefault="000B5A5E" w:rsidP="000B5A5E">
      <w:pPr>
        <w:pStyle w:val="Paragraph"/>
        <w:jc w:val="center"/>
      </w:pPr>
      <w:r>
        <w:rPr>
          <w:rFonts w:eastAsia="Lucida Sans Unicode"/>
          <w:noProof/>
          <w:color w:val="000000"/>
          <w:lang w:val="ru-RU" w:eastAsia="ru-RU"/>
        </w:rPr>
        <w:drawing>
          <wp:inline distT="0" distB="0" distL="0" distR="0" wp14:anchorId="4D310363" wp14:editId="6C5BC9F3">
            <wp:extent cx="1981200" cy="1856888"/>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 kV.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1049" cy="1884864"/>
                    </a:xfrm>
                    <a:prstGeom prst="rect">
                      <a:avLst/>
                    </a:prstGeom>
                  </pic:spPr>
                </pic:pic>
              </a:graphicData>
            </a:graphic>
          </wp:inline>
        </w:drawing>
      </w:r>
      <w:bookmarkStart w:id="0" w:name="_GoBack"/>
      <w:bookmarkEnd w:id="0"/>
    </w:p>
    <w:p w:rsidR="00A22E17" w:rsidRDefault="00A22E17" w:rsidP="00A22E17">
      <w:pPr>
        <w:pStyle w:val="FigureCaption"/>
        <w:rPr>
          <w:rFonts w:eastAsia="Lucida Sans Unicode"/>
        </w:rPr>
      </w:pPr>
      <w:r w:rsidRPr="009627C3">
        <w:rPr>
          <w:b/>
        </w:rPr>
        <w:t xml:space="preserve">FIGURE </w:t>
      </w:r>
      <w:r>
        <w:rPr>
          <w:b/>
        </w:rPr>
        <w:t>4</w:t>
      </w:r>
      <w:r w:rsidRPr="009627C3">
        <w:rPr>
          <w:b/>
        </w:rPr>
        <w:t>.</w:t>
      </w:r>
      <w:r w:rsidRPr="009627C3">
        <w:t xml:space="preserve"> </w:t>
      </w:r>
      <w:proofErr w:type="gramStart"/>
      <w:r>
        <w:t>Ion beam emittance diagram</w:t>
      </w:r>
      <w:proofErr w:type="gramEnd"/>
      <w:r w:rsidRPr="009627C3">
        <w:t xml:space="preserve">. </w:t>
      </w:r>
      <w:r>
        <w:t>E</w:t>
      </w:r>
      <w:r>
        <w:rPr>
          <w:rFonts w:eastAsia="Lucida Sans Unicode"/>
        </w:rPr>
        <w:t xml:space="preserve">xtractor: </w:t>
      </w:r>
      <w:r w:rsidRPr="00AE173B">
        <w:rPr>
          <w:rFonts w:eastAsia="Lucida Sans Unicode"/>
        </w:rPr>
        <w:t>5 mm plasma electrode aperture and 10 mm puller aperture with 11 mm gap</w:t>
      </w:r>
      <w:r w:rsidRPr="009627C3">
        <w:t xml:space="preserve">. </w:t>
      </w:r>
      <w:proofErr w:type="spellStart"/>
      <w:proofErr w:type="gramStart"/>
      <w:r>
        <w:rPr>
          <w:rFonts w:eastAsia="Lucida Sans Unicode"/>
          <w:color w:val="000000"/>
        </w:rPr>
        <w:t>rms</w:t>
      </w:r>
      <w:proofErr w:type="spellEnd"/>
      <w:proofErr w:type="gramEnd"/>
      <w:r w:rsidRPr="009627C3">
        <w:rPr>
          <w:rFonts w:eastAsia="Lucida Sans Unicode"/>
          <w:color w:val="000000"/>
        </w:rPr>
        <w:t xml:space="preserve"> </w:t>
      </w:r>
      <w:r>
        <w:rPr>
          <w:rFonts w:eastAsia="Lucida Sans Unicode"/>
          <w:color w:val="000000"/>
        </w:rPr>
        <w:t>normalized</w:t>
      </w:r>
      <w:r w:rsidRPr="009627C3">
        <w:rPr>
          <w:rFonts w:eastAsia="Lucida Sans Unicode"/>
          <w:color w:val="000000"/>
        </w:rPr>
        <w:t xml:space="preserve"> </w:t>
      </w:r>
      <w:r>
        <w:rPr>
          <w:rFonts w:eastAsia="Lucida Sans Unicode"/>
          <w:color w:val="000000"/>
        </w:rPr>
        <w:t>emittance</w:t>
      </w:r>
      <w:r w:rsidRPr="009627C3">
        <w:rPr>
          <w:rFonts w:eastAsia="Lucida Sans Unicode"/>
          <w:color w:val="000000"/>
        </w:rPr>
        <w:t xml:space="preserve"> </w:t>
      </w:r>
      <w:r>
        <w:rPr>
          <w:rFonts w:eastAsia="Lucida Sans Unicode"/>
          <w:color w:val="000000"/>
        </w:rPr>
        <w:t>is</w:t>
      </w:r>
      <w:r w:rsidRPr="009627C3">
        <w:rPr>
          <w:rFonts w:eastAsia="Lucida Sans Unicode"/>
          <w:color w:val="000000"/>
        </w:rPr>
        <w:t xml:space="preserve"> </w:t>
      </w:r>
      <w:r>
        <w:rPr>
          <w:rFonts w:eastAsia="Lucida Sans Unicode"/>
          <w:color w:val="000000"/>
        </w:rPr>
        <w:t>be</w:t>
      </w:r>
      <w:r w:rsidRPr="009627C3">
        <w:rPr>
          <w:rFonts w:eastAsia="Lucida Sans Unicode"/>
          <w:color w:val="000000"/>
        </w:rPr>
        <w:t xml:space="preserve"> 0.03 </w:t>
      </w:r>
      <w:r>
        <w:rPr>
          <w:rFonts w:eastAsia="Lucida Sans Unicode"/>
          <w:color w:val="000000"/>
          <w:lang w:val="ru-RU"/>
        </w:rPr>
        <w:t>π</w:t>
      </w:r>
      <w:r w:rsidRPr="009627C3">
        <w:rPr>
          <w:rFonts w:eastAsia="Lucida Sans Unicode"/>
          <w:color w:val="000000"/>
        </w:rPr>
        <w:t>∙</w:t>
      </w:r>
      <w:r>
        <w:rPr>
          <w:rFonts w:eastAsia="Lucida Sans Unicode"/>
          <w:color w:val="000000"/>
        </w:rPr>
        <w:t>mm</w:t>
      </w:r>
      <w:r w:rsidRPr="009627C3">
        <w:rPr>
          <w:rFonts w:eastAsia="Lucida Sans Unicode"/>
          <w:color w:val="000000"/>
        </w:rPr>
        <w:t>∙</w:t>
      </w:r>
      <w:r>
        <w:rPr>
          <w:rFonts w:eastAsia="Lucida Sans Unicode"/>
          <w:color w:val="000000"/>
        </w:rPr>
        <w:t>mrad</w:t>
      </w:r>
      <w:r w:rsidRPr="009627C3">
        <w:rPr>
          <w:rFonts w:eastAsia="Lucida Sans Unicode"/>
        </w:rPr>
        <w:t>.</w:t>
      </w:r>
    </w:p>
    <w:p w:rsidR="00A22E17" w:rsidRPr="00A22E17" w:rsidRDefault="00A22E17" w:rsidP="00A22E17">
      <w:pPr>
        <w:pStyle w:val="Paragraph"/>
      </w:pPr>
    </w:p>
    <w:p w:rsidR="0016385D" w:rsidRPr="00075EA6" w:rsidRDefault="0016385D">
      <w:pPr>
        <w:pStyle w:val="1"/>
        <w:rPr>
          <w:rFonts w:asciiTheme="majorBidi" w:hAnsiTheme="majorBidi" w:cstheme="majorBidi"/>
        </w:rPr>
      </w:pPr>
      <w:r w:rsidRPr="00075EA6">
        <w:rPr>
          <w:rFonts w:asciiTheme="majorBidi" w:hAnsiTheme="majorBidi" w:cstheme="majorBidi"/>
        </w:rPr>
        <w:t>Acknowledgments</w:t>
      </w:r>
      <w:r w:rsidR="00B1000D">
        <w:rPr>
          <w:rFonts w:asciiTheme="majorBidi" w:hAnsiTheme="majorBidi" w:cstheme="majorBidi"/>
        </w:rPr>
        <w:br/>
      </w:r>
    </w:p>
    <w:p w:rsidR="001043AA" w:rsidRPr="001043AA" w:rsidRDefault="001043AA" w:rsidP="001043AA">
      <w:pPr>
        <w:pStyle w:val="Paragraph"/>
      </w:pPr>
      <w:r w:rsidRPr="001043AA">
        <w:t xml:space="preserve">Work </w:t>
      </w:r>
      <w:proofErr w:type="gramStart"/>
      <w:r w:rsidRPr="001043AA">
        <w:t>was performed</w:t>
      </w:r>
      <w:proofErr w:type="gramEnd"/>
      <w:r w:rsidRPr="001043AA">
        <w:t xml:space="preserve"> in frame of realization of federal targeted program “R&amp;D in Priority Fields of the S&amp;T Complex of Russia (2014-2020)” contract #14.604.21.0065 (unique identification number RFMEFI60414X0065)</w:t>
      </w:r>
      <w:r>
        <w:t>.</w:t>
      </w:r>
    </w:p>
    <w:p w:rsidR="000B3A2D" w:rsidRPr="00075EA6" w:rsidRDefault="000B3A2D" w:rsidP="000B3A2D">
      <w:pPr>
        <w:pStyle w:val="Paragraph"/>
        <w:rPr>
          <w:rFonts w:asciiTheme="majorBidi" w:hAnsiTheme="majorBidi" w:cstheme="majorBidi"/>
        </w:rPr>
      </w:pPr>
    </w:p>
    <w:p w:rsidR="0016385D" w:rsidRPr="00075EA6" w:rsidRDefault="0016385D">
      <w:pPr>
        <w:pStyle w:val="1"/>
        <w:rPr>
          <w:rFonts w:asciiTheme="majorBidi" w:hAnsiTheme="majorBidi" w:cstheme="majorBidi"/>
        </w:rPr>
      </w:pPr>
      <w:r w:rsidRPr="00075EA6">
        <w:rPr>
          <w:rFonts w:asciiTheme="majorBidi" w:hAnsiTheme="majorBidi" w:cstheme="majorBidi"/>
        </w:rPr>
        <w:t>References</w:t>
      </w:r>
      <w:r w:rsidR="00B1000D">
        <w:rPr>
          <w:rFonts w:asciiTheme="majorBidi" w:hAnsiTheme="majorBidi" w:cstheme="majorBidi"/>
        </w:rPr>
        <w:br/>
      </w:r>
    </w:p>
    <w:p w:rsidR="003A61B1" w:rsidRPr="00075EA6" w:rsidRDefault="0001767C" w:rsidP="0001767C">
      <w:pPr>
        <w:pStyle w:val="Reference"/>
        <w:numPr>
          <w:ilvl w:val="0"/>
          <w:numId w:val="0"/>
        </w:numPr>
        <w:ind w:left="426" w:hanging="426"/>
      </w:pPr>
      <w:r>
        <w:t xml:space="preserve">[1]. </w:t>
      </w:r>
      <w:r w:rsidR="000B5A5E" w:rsidRPr="005351B2">
        <w:t xml:space="preserve">S. </w:t>
      </w:r>
      <w:proofErr w:type="spellStart"/>
      <w:r w:rsidR="000B5A5E" w:rsidRPr="005351B2">
        <w:t>Golubev</w:t>
      </w:r>
      <w:proofErr w:type="spellEnd"/>
      <w:r w:rsidR="000B5A5E" w:rsidRPr="005351B2">
        <w:t xml:space="preserve">, I. </w:t>
      </w:r>
      <w:proofErr w:type="spellStart"/>
      <w:r w:rsidR="000B5A5E" w:rsidRPr="005351B2">
        <w:t>Izotov</w:t>
      </w:r>
      <w:proofErr w:type="spellEnd"/>
      <w:r w:rsidR="000B5A5E" w:rsidRPr="005351B2">
        <w:t xml:space="preserve">, S. </w:t>
      </w:r>
      <w:proofErr w:type="spellStart"/>
      <w:r w:rsidR="000B5A5E" w:rsidRPr="005351B2">
        <w:t>Razin</w:t>
      </w:r>
      <w:proofErr w:type="spellEnd"/>
      <w:r w:rsidR="000B5A5E" w:rsidRPr="005351B2">
        <w:t xml:space="preserve">, A. </w:t>
      </w:r>
      <w:proofErr w:type="spellStart"/>
      <w:r w:rsidR="000B5A5E" w:rsidRPr="005351B2">
        <w:t>Sidorov</w:t>
      </w:r>
      <w:proofErr w:type="spellEnd"/>
      <w:r w:rsidR="000B5A5E" w:rsidRPr="005351B2">
        <w:t xml:space="preserve">, V. </w:t>
      </w:r>
      <w:proofErr w:type="spellStart"/>
      <w:r w:rsidR="000B5A5E" w:rsidRPr="005351B2">
        <w:t>Skalyga</w:t>
      </w:r>
      <w:proofErr w:type="spellEnd"/>
      <w:r w:rsidR="000B5A5E" w:rsidRPr="005351B2">
        <w:t xml:space="preserve">, A. </w:t>
      </w:r>
      <w:proofErr w:type="spellStart"/>
      <w:r w:rsidR="000B5A5E" w:rsidRPr="005351B2">
        <w:t>Vodopyanov</w:t>
      </w:r>
      <w:proofErr w:type="spellEnd"/>
      <w:r w:rsidR="000B5A5E" w:rsidRPr="005351B2">
        <w:t xml:space="preserve">, V. </w:t>
      </w:r>
      <w:proofErr w:type="spellStart"/>
      <w:r w:rsidR="000B5A5E" w:rsidRPr="005351B2">
        <w:t>Zorin</w:t>
      </w:r>
      <w:proofErr w:type="spellEnd"/>
      <w:r w:rsidR="000B5A5E" w:rsidRPr="005351B2">
        <w:t xml:space="preserve">, A. </w:t>
      </w:r>
      <w:proofErr w:type="spellStart"/>
      <w:r w:rsidR="000B5A5E" w:rsidRPr="005351B2">
        <w:t>Bokhanov</w:t>
      </w:r>
      <w:proofErr w:type="spellEnd"/>
      <w:r w:rsidR="000B5A5E" w:rsidRPr="005351B2">
        <w:t>.. Nuclear Instruments and Methods in Physics Research B, v. 256, p. 537 – 542 (2007)</w:t>
      </w:r>
      <w:r w:rsidR="003A61B1" w:rsidRPr="00075EA6">
        <w:t xml:space="preserve">. </w:t>
      </w:r>
    </w:p>
    <w:p w:rsidR="003A61B1" w:rsidRDefault="0001767C" w:rsidP="0001767C">
      <w:pPr>
        <w:pStyle w:val="Reference"/>
        <w:numPr>
          <w:ilvl w:val="0"/>
          <w:numId w:val="0"/>
        </w:numPr>
        <w:ind w:left="426" w:hanging="426"/>
      </w:pPr>
      <w:r>
        <w:t xml:space="preserve">[2] </w:t>
      </w:r>
      <w:r w:rsidR="000B5A5E" w:rsidRPr="005351B2">
        <w:t xml:space="preserve">V. </w:t>
      </w:r>
      <w:proofErr w:type="spellStart"/>
      <w:r w:rsidR="000B5A5E" w:rsidRPr="005351B2">
        <w:t>Skalyga</w:t>
      </w:r>
      <w:proofErr w:type="spellEnd"/>
      <w:r w:rsidR="000B5A5E" w:rsidRPr="005351B2">
        <w:t xml:space="preserve">, V. </w:t>
      </w:r>
      <w:proofErr w:type="spellStart"/>
      <w:r w:rsidR="000B5A5E" w:rsidRPr="005351B2">
        <w:t>Zorin</w:t>
      </w:r>
      <w:proofErr w:type="spellEnd"/>
      <w:r w:rsidR="000B5A5E" w:rsidRPr="005351B2">
        <w:t xml:space="preserve">, I. </w:t>
      </w:r>
      <w:proofErr w:type="spellStart"/>
      <w:r w:rsidR="000B5A5E" w:rsidRPr="005351B2">
        <w:t>Izotov</w:t>
      </w:r>
      <w:proofErr w:type="spellEnd"/>
      <w:r w:rsidR="000B5A5E" w:rsidRPr="005351B2">
        <w:t xml:space="preserve">, S. </w:t>
      </w:r>
      <w:proofErr w:type="spellStart"/>
      <w:r w:rsidR="000B5A5E" w:rsidRPr="005351B2">
        <w:t>Razin</w:t>
      </w:r>
      <w:proofErr w:type="spellEnd"/>
      <w:r w:rsidR="000B5A5E" w:rsidRPr="005351B2">
        <w:t xml:space="preserve">, A. </w:t>
      </w:r>
      <w:proofErr w:type="spellStart"/>
      <w:r w:rsidR="000B5A5E" w:rsidRPr="005351B2">
        <w:t>Sidorov</w:t>
      </w:r>
      <w:proofErr w:type="spellEnd"/>
      <w:r w:rsidR="000B5A5E" w:rsidRPr="005351B2">
        <w:t xml:space="preserve">, A. </w:t>
      </w:r>
      <w:proofErr w:type="spellStart"/>
      <w:r w:rsidR="000B5A5E" w:rsidRPr="005351B2">
        <w:t>Bohanov</w:t>
      </w:r>
      <w:proofErr w:type="spellEnd"/>
      <w:proofErr w:type="gramStart"/>
      <w:r w:rsidR="000B5A5E" w:rsidRPr="005351B2">
        <w:t>..</w:t>
      </w:r>
      <w:proofErr w:type="gramEnd"/>
      <w:r w:rsidR="000B5A5E" w:rsidRPr="005351B2">
        <w:t xml:space="preserve"> Plasma </w:t>
      </w:r>
      <w:proofErr w:type="gramStart"/>
      <w:r w:rsidR="000B5A5E" w:rsidRPr="005351B2">
        <w:t>Sources  Science</w:t>
      </w:r>
      <w:proofErr w:type="gramEnd"/>
      <w:r w:rsidR="000B5A5E" w:rsidRPr="005351B2">
        <w:t xml:space="preserve"> and Technology v.15, p. 727-734 (2006)</w:t>
      </w:r>
      <w:r w:rsidR="003A61B1" w:rsidRPr="00075EA6">
        <w:t>.</w:t>
      </w:r>
    </w:p>
    <w:p w:rsidR="000B5A5E" w:rsidRPr="00075EA6" w:rsidRDefault="0001767C" w:rsidP="0001767C">
      <w:pPr>
        <w:pStyle w:val="Reference"/>
        <w:numPr>
          <w:ilvl w:val="0"/>
          <w:numId w:val="0"/>
        </w:numPr>
        <w:ind w:left="426" w:hanging="426"/>
      </w:pPr>
      <w:r>
        <w:t xml:space="preserve">[3] </w:t>
      </w:r>
      <w:proofErr w:type="spellStart"/>
      <w:r w:rsidR="000B5A5E" w:rsidRPr="00B17F07">
        <w:t>V.Skalyga</w:t>
      </w:r>
      <w:proofErr w:type="spellEnd"/>
      <w:r w:rsidR="000B5A5E" w:rsidRPr="00B17F07">
        <w:t xml:space="preserve">, </w:t>
      </w:r>
      <w:proofErr w:type="spellStart"/>
      <w:r w:rsidR="000B5A5E" w:rsidRPr="00B17F07">
        <w:t>I.Izotov</w:t>
      </w:r>
      <w:proofErr w:type="spellEnd"/>
      <w:r w:rsidR="000B5A5E" w:rsidRPr="00B17F07">
        <w:t xml:space="preserve">, </w:t>
      </w:r>
      <w:proofErr w:type="spellStart"/>
      <w:r w:rsidR="000B5A5E" w:rsidRPr="00B17F07">
        <w:t>S.Golubev</w:t>
      </w:r>
      <w:proofErr w:type="spellEnd"/>
      <w:r w:rsidR="000B5A5E" w:rsidRPr="00B17F07">
        <w:t xml:space="preserve">, </w:t>
      </w:r>
      <w:proofErr w:type="spellStart"/>
      <w:r w:rsidR="000B5A5E" w:rsidRPr="00B17F07">
        <w:t>A.Sidorov</w:t>
      </w:r>
      <w:proofErr w:type="spellEnd"/>
      <w:r w:rsidR="000B5A5E" w:rsidRPr="00B17F07">
        <w:t xml:space="preserve">, </w:t>
      </w:r>
      <w:proofErr w:type="spellStart"/>
      <w:r w:rsidR="000B5A5E" w:rsidRPr="00B17F07">
        <w:t>S.Razin</w:t>
      </w:r>
      <w:proofErr w:type="spellEnd"/>
      <w:r w:rsidR="000B5A5E" w:rsidRPr="00B17F07">
        <w:t xml:space="preserve">, </w:t>
      </w:r>
      <w:proofErr w:type="spellStart"/>
      <w:r w:rsidR="000B5A5E" w:rsidRPr="00B17F07">
        <w:t>A.Vodopyanov</w:t>
      </w:r>
      <w:proofErr w:type="spellEnd"/>
      <w:r w:rsidR="000B5A5E" w:rsidRPr="00B17F07">
        <w:t xml:space="preserve">, </w:t>
      </w:r>
      <w:proofErr w:type="spellStart"/>
      <w:r w:rsidR="000B5A5E" w:rsidRPr="00B17F07">
        <w:t>O.Tarvainen</w:t>
      </w:r>
      <w:proofErr w:type="spellEnd"/>
      <w:r w:rsidR="000B5A5E" w:rsidRPr="00B17F07">
        <w:t xml:space="preserve">, </w:t>
      </w:r>
      <w:proofErr w:type="spellStart"/>
      <w:r w:rsidR="000B5A5E" w:rsidRPr="00B17F07">
        <w:t>H.Koivisto</w:t>
      </w:r>
      <w:proofErr w:type="spellEnd"/>
      <w:r w:rsidR="000B5A5E" w:rsidRPr="00B17F07">
        <w:t xml:space="preserve">, </w:t>
      </w:r>
      <w:proofErr w:type="spellStart"/>
      <w:r w:rsidR="000B5A5E" w:rsidRPr="00B17F07">
        <w:t>T.Kalvas</w:t>
      </w:r>
      <w:proofErr w:type="spellEnd"/>
      <w:r w:rsidR="000B5A5E" w:rsidRPr="00B17F07">
        <w:t>.</w:t>
      </w:r>
      <w:r w:rsidR="000B5A5E" w:rsidRPr="00B17F07">
        <w:rPr>
          <w:b/>
        </w:rPr>
        <w:t xml:space="preserve"> </w:t>
      </w:r>
      <w:r w:rsidR="000B5A5E" w:rsidRPr="00B17F07">
        <w:t xml:space="preserve">Review of Scientific Instruments. </w:t>
      </w:r>
      <w:r w:rsidR="000B5A5E" w:rsidRPr="00B17F07">
        <w:rPr>
          <w:rStyle w:val="citationvolume"/>
          <w:b/>
          <w:bCs/>
          <w:color w:val="333333"/>
          <w:bdr w:val="none" w:sz="0" w:space="0" w:color="auto" w:frame="1"/>
          <w:shd w:val="clear" w:color="auto" w:fill="FFFFFF"/>
        </w:rPr>
        <w:t>87</w:t>
      </w:r>
      <w:r w:rsidR="000B5A5E" w:rsidRPr="00B17F07">
        <w:rPr>
          <w:color w:val="333333"/>
          <w:bdr w:val="none" w:sz="0" w:space="0" w:color="auto" w:frame="1"/>
          <w:shd w:val="clear" w:color="auto" w:fill="FFFFFF"/>
        </w:rPr>
        <w:t>, 02A716</w:t>
      </w:r>
      <w:r w:rsidR="000B5A5E" w:rsidRPr="00B17F07">
        <w:rPr>
          <w:rStyle w:val="apple-converted-space"/>
          <w:color w:val="333333"/>
          <w:bdr w:val="none" w:sz="0" w:space="0" w:color="auto" w:frame="1"/>
          <w:shd w:val="clear" w:color="auto" w:fill="FFFFFF"/>
        </w:rPr>
        <w:t> </w:t>
      </w:r>
      <w:r w:rsidR="000B5A5E" w:rsidRPr="00B17F07">
        <w:rPr>
          <w:color w:val="333333"/>
          <w:bdr w:val="none" w:sz="0" w:space="0" w:color="auto" w:frame="1"/>
          <w:shd w:val="clear" w:color="auto" w:fill="FFFFFF"/>
        </w:rPr>
        <w:t>(2016)</w:t>
      </w:r>
    </w:p>
    <w:p w:rsidR="003A61B1" w:rsidRPr="00075EA6" w:rsidRDefault="0001767C" w:rsidP="0001767C">
      <w:pPr>
        <w:pStyle w:val="Reference"/>
        <w:numPr>
          <w:ilvl w:val="0"/>
          <w:numId w:val="0"/>
        </w:numPr>
        <w:ind w:left="426" w:hanging="426"/>
      </w:pPr>
      <w:r>
        <w:rPr>
          <w:shd w:val="clear" w:color="auto" w:fill="FFFFFF"/>
        </w:rPr>
        <w:t xml:space="preserve">[4] </w:t>
      </w:r>
      <w:r w:rsidR="000B5A5E" w:rsidRPr="00BC4AA2">
        <w:rPr>
          <w:shd w:val="clear" w:color="auto" w:fill="FFFFFF"/>
        </w:rPr>
        <w:t>V</w:t>
      </w:r>
      <w:r w:rsidR="000B5A5E">
        <w:rPr>
          <w:shd w:val="clear" w:color="auto" w:fill="FFFFFF"/>
        </w:rPr>
        <w:t>.</w:t>
      </w:r>
      <w:r w:rsidR="000B5A5E" w:rsidRPr="00BC4AA2">
        <w:rPr>
          <w:shd w:val="clear" w:color="auto" w:fill="FFFFFF"/>
        </w:rPr>
        <w:t xml:space="preserve"> </w:t>
      </w:r>
      <w:proofErr w:type="spellStart"/>
      <w:r w:rsidR="000B5A5E" w:rsidRPr="00BC4AA2">
        <w:rPr>
          <w:shd w:val="clear" w:color="auto" w:fill="FFFFFF"/>
        </w:rPr>
        <w:t>Skalyga</w:t>
      </w:r>
      <w:proofErr w:type="spellEnd"/>
      <w:r w:rsidR="000B5A5E" w:rsidRPr="00BC4AA2">
        <w:rPr>
          <w:shd w:val="clear" w:color="auto" w:fill="FFFFFF"/>
        </w:rPr>
        <w:t>, I</w:t>
      </w:r>
      <w:r w:rsidR="000B5A5E">
        <w:rPr>
          <w:shd w:val="clear" w:color="auto" w:fill="FFFFFF"/>
        </w:rPr>
        <w:t>.</w:t>
      </w:r>
      <w:r w:rsidR="000B5A5E" w:rsidRPr="00BC4AA2">
        <w:rPr>
          <w:shd w:val="clear" w:color="auto" w:fill="FFFFFF"/>
        </w:rPr>
        <w:t xml:space="preserve"> </w:t>
      </w:r>
      <w:proofErr w:type="spellStart"/>
      <w:r w:rsidR="000B5A5E" w:rsidRPr="00BC4AA2">
        <w:rPr>
          <w:shd w:val="clear" w:color="auto" w:fill="FFFFFF"/>
        </w:rPr>
        <w:t>Izotov</w:t>
      </w:r>
      <w:proofErr w:type="spellEnd"/>
      <w:r w:rsidR="000B5A5E" w:rsidRPr="00BC4AA2">
        <w:rPr>
          <w:shd w:val="clear" w:color="auto" w:fill="FFFFFF"/>
        </w:rPr>
        <w:t>, A</w:t>
      </w:r>
      <w:r w:rsidR="000B5A5E">
        <w:rPr>
          <w:shd w:val="clear" w:color="auto" w:fill="FFFFFF"/>
        </w:rPr>
        <w:t>.</w:t>
      </w:r>
      <w:r w:rsidR="000B5A5E" w:rsidRPr="00BC4AA2">
        <w:rPr>
          <w:shd w:val="clear" w:color="auto" w:fill="FFFFFF"/>
        </w:rPr>
        <w:t xml:space="preserve"> </w:t>
      </w:r>
      <w:proofErr w:type="spellStart"/>
      <w:r w:rsidR="000B5A5E" w:rsidRPr="00BC4AA2">
        <w:rPr>
          <w:shd w:val="clear" w:color="auto" w:fill="FFFFFF"/>
        </w:rPr>
        <w:t>Sidorov</w:t>
      </w:r>
      <w:proofErr w:type="spellEnd"/>
      <w:r w:rsidR="000B5A5E" w:rsidRPr="00BC4AA2">
        <w:rPr>
          <w:shd w:val="clear" w:color="auto" w:fill="FFFFFF"/>
        </w:rPr>
        <w:t>, S</w:t>
      </w:r>
      <w:r w:rsidR="000B5A5E">
        <w:rPr>
          <w:shd w:val="clear" w:color="auto" w:fill="FFFFFF"/>
        </w:rPr>
        <w:t>.</w:t>
      </w:r>
      <w:r w:rsidR="000B5A5E" w:rsidRPr="00BC4AA2">
        <w:rPr>
          <w:shd w:val="clear" w:color="auto" w:fill="FFFFFF"/>
        </w:rPr>
        <w:t xml:space="preserve"> </w:t>
      </w:r>
      <w:proofErr w:type="spellStart"/>
      <w:r w:rsidR="000B5A5E" w:rsidRPr="00BC4AA2">
        <w:rPr>
          <w:shd w:val="clear" w:color="auto" w:fill="FFFFFF"/>
        </w:rPr>
        <w:t>Razin</w:t>
      </w:r>
      <w:proofErr w:type="spellEnd"/>
      <w:r w:rsidR="000B5A5E" w:rsidRPr="00BC4AA2">
        <w:rPr>
          <w:shd w:val="clear" w:color="auto" w:fill="FFFFFF"/>
        </w:rPr>
        <w:t>, V</w:t>
      </w:r>
      <w:r w:rsidR="000B5A5E">
        <w:rPr>
          <w:shd w:val="clear" w:color="auto" w:fill="FFFFFF"/>
        </w:rPr>
        <w:t>.</w:t>
      </w:r>
      <w:r w:rsidR="000B5A5E" w:rsidRPr="00BC4AA2">
        <w:rPr>
          <w:shd w:val="clear" w:color="auto" w:fill="FFFFFF"/>
        </w:rPr>
        <w:t xml:space="preserve"> </w:t>
      </w:r>
      <w:proofErr w:type="spellStart"/>
      <w:r w:rsidR="000B5A5E" w:rsidRPr="00BC4AA2">
        <w:rPr>
          <w:shd w:val="clear" w:color="auto" w:fill="FFFFFF"/>
        </w:rPr>
        <w:t>Zorin</w:t>
      </w:r>
      <w:proofErr w:type="spellEnd"/>
      <w:r w:rsidR="000B5A5E" w:rsidRPr="00BC4AA2">
        <w:rPr>
          <w:shd w:val="clear" w:color="auto" w:fill="FFFFFF"/>
        </w:rPr>
        <w:t>, O</w:t>
      </w:r>
      <w:r w:rsidR="000B5A5E">
        <w:rPr>
          <w:shd w:val="clear" w:color="auto" w:fill="FFFFFF"/>
        </w:rPr>
        <w:t>.</w:t>
      </w:r>
      <w:r w:rsidR="000B5A5E" w:rsidRPr="00BC4AA2">
        <w:rPr>
          <w:shd w:val="clear" w:color="auto" w:fill="FFFFFF"/>
        </w:rPr>
        <w:t xml:space="preserve"> </w:t>
      </w:r>
      <w:proofErr w:type="spellStart"/>
      <w:r w:rsidR="000B5A5E" w:rsidRPr="00BC4AA2">
        <w:rPr>
          <w:shd w:val="clear" w:color="auto" w:fill="FFFFFF"/>
        </w:rPr>
        <w:t>Tarvainen</w:t>
      </w:r>
      <w:proofErr w:type="spellEnd"/>
      <w:r w:rsidR="000B5A5E" w:rsidRPr="00BC4AA2">
        <w:rPr>
          <w:shd w:val="clear" w:color="auto" w:fill="FFFFFF"/>
        </w:rPr>
        <w:t>, H</w:t>
      </w:r>
      <w:r w:rsidR="000B5A5E">
        <w:rPr>
          <w:shd w:val="clear" w:color="auto" w:fill="FFFFFF"/>
        </w:rPr>
        <w:t>.</w:t>
      </w:r>
      <w:r w:rsidR="000B5A5E" w:rsidRPr="00BC4AA2">
        <w:rPr>
          <w:shd w:val="clear" w:color="auto" w:fill="FFFFFF"/>
        </w:rPr>
        <w:t xml:space="preserve"> </w:t>
      </w:r>
      <w:proofErr w:type="spellStart"/>
      <w:r w:rsidR="000B5A5E" w:rsidRPr="00BC4AA2">
        <w:rPr>
          <w:shd w:val="clear" w:color="auto" w:fill="FFFFFF"/>
        </w:rPr>
        <w:t>Koivisto</w:t>
      </w:r>
      <w:proofErr w:type="spellEnd"/>
      <w:r w:rsidR="000B5A5E">
        <w:rPr>
          <w:shd w:val="clear" w:color="auto" w:fill="FFFFFF"/>
        </w:rPr>
        <w:t>,</w:t>
      </w:r>
      <w:r w:rsidR="000B5A5E" w:rsidRPr="00BC4AA2">
        <w:rPr>
          <w:shd w:val="clear" w:color="auto" w:fill="FFFFFF"/>
        </w:rPr>
        <w:t xml:space="preserve"> T</w:t>
      </w:r>
      <w:r w:rsidR="000B5A5E">
        <w:rPr>
          <w:shd w:val="clear" w:color="auto" w:fill="FFFFFF"/>
        </w:rPr>
        <w:t>.</w:t>
      </w:r>
      <w:r w:rsidR="000B5A5E" w:rsidRPr="00BC4AA2">
        <w:rPr>
          <w:shd w:val="clear" w:color="auto" w:fill="FFFFFF"/>
        </w:rPr>
        <w:t xml:space="preserve"> </w:t>
      </w:r>
      <w:proofErr w:type="spellStart"/>
      <w:r w:rsidR="000B5A5E" w:rsidRPr="00BC4AA2">
        <w:rPr>
          <w:shd w:val="clear" w:color="auto" w:fill="FFFFFF"/>
        </w:rPr>
        <w:t>Kalvas</w:t>
      </w:r>
      <w:proofErr w:type="spellEnd"/>
      <w:proofErr w:type="gramStart"/>
      <w:r w:rsidR="000B5A5E" w:rsidRPr="00BC4AA2">
        <w:rPr>
          <w:shd w:val="clear" w:color="auto" w:fill="FFFFFF"/>
        </w:rPr>
        <w:t>.</w:t>
      </w:r>
      <w:r w:rsidR="000B5A5E" w:rsidRPr="00BC4AA2">
        <w:t>.</w:t>
      </w:r>
      <w:proofErr w:type="gramEnd"/>
      <w:r w:rsidR="000B5A5E" w:rsidRPr="00BC4AA2">
        <w:t xml:space="preserve"> </w:t>
      </w:r>
      <w:r w:rsidR="000B5A5E" w:rsidRPr="000B5A5E">
        <w:rPr>
          <w:rStyle w:val="ab"/>
          <w:i w:val="0"/>
          <w:color w:val="000000"/>
          <w:sz w:val="24"/>
          <w:szCs w:val="24"/>
          <w:shd w:val="clear" w:color="auto" w:fill="FFFFFF"/>
        </w:rPr>
        <w:t>JINST,</w:t>
      </w:r>
      <w:r w:rsidR="000B5A5E" w:rsidRPr="000B5A5E">
        <w:rPr>
          <w:rStyle w:val="apple-converted-space"/>
          <w:i/>
          <w:color w:val="000000"/>
          <w:sz w:val="24"/>
          <w:szCs w:val="24"/>
          <w:shd w:val="clear" w:color="auto" w:fill="FFFFFF"/>
        </w:rPr>
        <w:t> v.</w:t>
      </w:r>
      <w:r w:rsidR="000B5A5E" w:rsidRPr="000B5A5E">
        <w:rPr>
          <w:bCs/>
          <w:i/>
          <w:shd w:val="clear" w:color="auto" w:fill="FFFFFF"/>
        </w:rPr>
        <w:t>7,</w:t>
      </w:r>
      <w:r w:rsidR="000B5A5E" w:rsidRPr="006039F2">
        <w:rPr>
          <w:rStyle w:val="apple-converted-space"/>
          <w:b/>
          <w:i/>
          <w:color w:val="000000"/>
          <w:sz w:val="24"/>
          <w:szCs w:val="24"/>
          <w:shd w:val="clear" w:color="auto" w:fill="FFFFFF"/>
        </w:rPr>
        <w:t> </w:t>
      </w:r>
      <w:r w:rsidR="000B5A5E" w:rsidRPr="006039F2">
        <w:rPr>
          <w:shd w:val="clear" w:color="auto" w:fill="FFFFFF"/>
        </w:rPr>
        <w:t>P10010</w:t>
      </w:r>
      <w:r w:rsidR="000B5A5E" w:rsidRPr="00BC4AA2">
        <w:rPr>
          <w:shd w:val="clear" w:color="auto" w:fill="FFFFFF"/>
        </w:rPr>
        <w:t xml:space="preserve"> (2012)</w:t>
      </w:r>
      <w:r w:rsidR="003A61B1" w:rsidRPr="00075EA6">
        <w:t>.</w:t>
      </w:r>
    </w:p>
    <w:p w:rsidR="003A61B1" w:rsidRPr="00075EA6" w:rsidRDefault="0001767C" w:rsidP="0001767C">
      <w:pPr>
        <w:pStyle w:val="Reference"/>
        <w:numPr>
          <w:ilvl w:val="0"/>
          <w:numId w:val="0"/>
        </w:numPr>
        <w:ind w:left="426" w:hanging="426"/>
      </w:pPr>
      <w:r>
        <w:t xml:space="preserve">[5] </w:t>
      </w:r>
      <w:r w:rsidR="000B5A5E" w:rsidRPr="00D81878">
        <w:t xml:space="preserve">V. </w:t>
      </w:r>
      <w:proofErr w:type="spellStart"/>
      <w:r w:rsidR="000B5A5E" w:rsidRPr="00D81878">
        <w:t>Skalyga</w:t>
      </w:r>
      <w:proofErr w:type="spellEnd"/>
      <w:r w:rsidR="000B5A5E" w:rsidRPr="00D81878">
        <w:t xml:space="preserve">, I. </w:t>
      </w:r>
      <w:proofErr w:type="spellStart"/>
      <w:r w:rsidR="000B5A5E" w:rsidRPr="00D81878">
        <w:t>Izotov</w:t>
      </w:r>
      <w:proofErr w:type="spellEnd"/>
      <w:r w:rsidR="000B5A5E" w:rsidRPr="00D81878">
        <w:t xml:space="preserve">, S. </w:t>
      </w:r>
      <w:proofErr w:type="spellStart"/>
      <w:r w:rsidR="000B5A5E" w:rsidRPr="00D81878">
        <w:t>Razin</w:t>
      </w:r>
      <w:proofErr w:type="spellEnd"/>
      <w:r w:rsidR="000B5A5E" w:rsidRPr="00D81878">
        <w:t xml:space="preserve">, A. </w:t>
      </w:r>
      <w:proofErr w:type="spellStart"/>
      <w:r w:rsidR="000B5A5E" w:rsidRPr="00D81878">
        <w:t>Sidorov</w:t>
      </w:r>
      <w:proofErr w:type="spellEnd"/>
      <w:r w:rsidR="000B5A5E" w:rsidRPr="00D81878">
        <w:t xml:space="preserve">, S. </w:t>
      </w:r>
      <w:proofErr w:type="spellStart"/>
      <w:r w:rsidR="000B5A5E" w:rsidRPr="00D81878">
        <w:t>Golubev</w:t>
      </w:r>
      <w:proofErr w:type="spellEnd"/>
      <w:r w:rsidR="000B5A5E" w:rsidRPr="00D81878">
        <w:t xml:space="preserve">, T. </w:t>
      </w:r>
      <w:proofErr w:type="spellStart"/>
      <w:r w:rsidR="000B5A5E" w:rsidRPr="00D81878">
        <w:t>Kalvas</w:t>
      </w:r>
      <w:proofErr w:type="spellEnd"/>
      <w:r w:rsidR="000B5A5E" w:rsidRPr="00D81878">
        <w:t xml:space="preserve">, H. </w:t>
      </w:r>
      <w:proofErr w:type="spellStart"/>
      <w:r w:rsidR="000B5A5E" w:rsidRPr="00D81878">
        <w:t>Koivisto</w:t>
      </w:r>
      <w:proofErr w:type="spellEnd"/>
      <w:r w:rsidR="000B5A5E" w:rsidRPr="00D81878">
        <w:t xml:space="preserve">, and O. </w:t>
      </w:r>
      <w:proofErr w:type="spellStart"/>
      <w:r w:rsidR="000B5A5E" w:rsidRPr="00D81878">
        <w:t>Tarvainen</w:t>
      </w:r>
      <w:proofErr w:type="spellEnd"/>
      <w:r w:rsidR="000B5A5E" w:rsidRPr="00D81878">
        <w:t>. Review of Scientific Instruments, v. 85, no. 2</w:t>
      </w:r>
      <w:r w:rsidR="000B5A5E">
        <w:t>, 2014, p. 02A702-1 – 02A702-3.</w:t>
      </w:r>
    </w:p>
    <w:sectPr w:rsidR="003A61B1" w:rsidRPr="00075EA6" w:rsidSect="00402DA2">
      <w:pgSz w:w="12240" w:h="15840"/>
      <w:pgMar w:top="1440" w:right="1440" w:bottom="1701"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2">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6">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0">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11">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72E6F57"/>
    <w:multiLevelType w:val="multilevel"/>
    <w:tmpl w:val="6972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AA97E4A"/>
    <w:multiLevelType w:val="multilevel"/>
    <w:tmpl w:val="21562CB0"/>
    <w:name w:val="/#"/>
    <w:lvl w:ilvl="0">
      <w:start w:val="1"/>
      <w:numFmt w:val="decimal"/>
      <w:lvlText w:val="%1"/>
      <w:lvlJc w:val="left"/>
      <w:pPr>
        <w:tabs>
          <w:tab w:val="num" w:pos="36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num w:numId="1">
    <w:abstractNumId w:val="13"/>
  </w:num>
  <w:num w:numId="2">
    <w:abstractNumId w:val="1"/>
  </w:num>
  <w:num w:numId="3">
    <w:abstractNumId w:val="10"/>
  </w:num>
  <w:num w:numId="4">
    <w:abstractNumId w:val="5"/>
  </w:num>
  <w:num w:numId="5">
    <w:abstractNumId w:val="9"/>
  </w:num>
  <w:num w:numId="6">
    <w:abstractNumId w:val="2"/>
  </w:num>
  <w:num w:numId="7">
    <w:abstractNumId w:val="4"/>
  </w:num>
  <w:num w:numId="8">
    <w:abstractNumId w:val="0"/>
  </w:num>
  <w:num w:numId="9">
    <w:abstractNumId w:val="12"/>
  </w:num>
  <w:num w:numId="10">
    <w:abstractNumId w:val="7"/>
  </w:num>
  <w:num w:numId="11">
    <w:abstractNumId w:val="11"/>
  </w:num>
  <w:num w:numId="12">
    <w:abstractNumId w:val="8"/>
  </w:num>
  <w:num w:numId="13">
    <w:abstractNumId w:val="3"/>
  </w:num>
  <w:num w:numId="14">
    <w:abstractNumId w:val="12"/>
  </w:num>
  <w:num w:numId="15">
    <w:abstractNumId w:val="6"/>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9"/>
  </w:num>
  <w:num w:numId="30">
    <w:abstractNumId w:val="9"/>
  </w:num>
  <w:num w:numId="31">
    <w:abstractNumId w:val="9"/>
    <w:lvlOverride w:ilvl="0">
      <w:startOverride w:val="1"/>
    </w:lvlOverride>
  </w:num>
  <w:num w:numId="32">
    <w:abstractNumId w:val="9"/>
  </w:num>
  <w:num w:numId="33">
    <w:abstractNumId w:val="9"/>
    <w:lvlOverride w:ilvl="0">
      <w:startOverride w:val="1"/>
    </w:lvlOverride>
  </w:num>
  <w:num w:numId="34">
    <w:abstractNumId w:val="9"/>
    <w:lvlOverride w:ilvl="0">
      <w:startOverride w:val="1"/>
    </w:lvlOverride>
  </w:num>
  <w:num w:numId="35">
    <w:abstractNumId w:val="10"/>
    <w:lvlOverride w:ilvl="0">
      <w:startOverride w:val="1"/>
    </w:lvlOverride>
  </w:num>
  <w:num w:numId="36">
    <w:abstractNumId w:val="10"/>
  </w:num>
  <w:num w:numId="37">
    <w:abstractNumId w:val="10"/>
    <w:lvlOverride w:ilvl="0">
      <w:startOverride w:val="1"/>
    </w:lvlOverride>
  </w:num>
  <w:num w:numId="38">
    <w:abstractNumId w:val="10"/>
  </w:num>
  <w:num w:numId="39">
    <w:abstractNumId w:val="10"/>
    <w:lvlOverride w:ilvl="0">
      <w:startOverride w:val="1"/>
    </w:lvlOverride>
  </w:num>
  <w:num w:numId="40">
    <w:abstractNumId w:val="10"/>
    <w:lvlOverride w:ilvl="0">
      <w:startOverride w:val="1"/>
    </w:lvlOverride>
  </w:num>
  <w:num w:numId="41">
    <w:abstractNumId w:val="10"/>
    <w:lvlOverride w:ilvl="0">
      <w:startOverride w:val="1"/>
    </w:lvlOverride>
  </w:num>
  <w:num w:numId="42">
    <w:abstractNumId w:val="10"/>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B2A"/>
    <w:rsid w:val="00014140"/>
    <w:rsid w:val="0001767C"/>
    <w:rsid w:val="00031EC9"/>
    <w:rsid w:val="00032646"/>
    <w:rsid w:val="00066FED"/>
    <w:rsid w:val="00075EA6"/>
    <w:rsid w:val="0007709F"/>
    <w:rsid w:val="00086F62"/>
    <w:rsid w:val="0009320B"/>
    <w:rsid w:val="00096AE0"/>
    <w:rsid w:val="000B1B74"/>
    <w:rsid w:val="000B3A2D"/>
    <w:rsid w:val="000B49C0"/>
    <w:rsid w:val="000B5A5E"/>
    <w:rsid w:val="000E382F"/>
    <w:rsid w:val="001036BA"/>
    <w:rsid w:val="001043AA"/>
    <w:rsid w:val="001146DC"/>
    <w:rsid w:val="00114AB1"/>
    <w:rsid w:val="00120EC3"/>
    <w:rsid w:val="001230FF"/>
    <w:rsid w:val="00130BD7"/>
    <w:rsid w:val="00155B67"/>
    <w:rsid w:val="001562AF"/>
    <w:rsid w:val="00161A5B"/>
    <w:rsid w:val="0016385D"/>
    <w:rsid w:val="0016782F"/>
    <w:rsid w:val="0018509F"/>
    <w:rsid w:val="001937E9"/>
    <w:rsid w:val="001B263B"/>
    <w:rsid w:val="001B476A"/>
    <w:rsid w:val="001C764F"/>
    <w:rsid w:val="001C7BB3"/>
    <w:rsid w:val="001D469C"/>
    <w:rsid w:val="001F64CE"/>
    <w:rsid w:val="0023171B"/>
    <w:rsid w:val="00236BFC"/>
    <w:rsid w:val="00237437"/>
    <w:rsid w:val="002502FD"/>
    <w:rsid w:val="00264768"/>
    <w:rsid w:val="00274622"/>
    <w:rsid w:val="00285D24"/>
    <w:rsid w:val="00290390"/>
    <w:rsid w:val="002915D3"/>
    <w:rsid w:val="002941DA"/>
    <w:rsid w:val="002A0A51"/>
    <w:rsid w:val="002B2B2A"/>
    <w:rsid w:val="002E3C35"/>
    <w:rsid w:val="002F5298"/>
    <w:rsid w:val="00337E4F"/>
    <w:rsid w:val="00340C36"/>
    <w:rsid w:val="00346A9D"/>
    <w:rsid w:val="00350457"/>
    <w:rsid w:val="0036343E"/>
    <w:rsid w:val="0039376F"/>
    <w:rsid w:val="003A287B"/>
    <w:rsid w:val="003A5C85"/>
    <w:rsid w:val="003A61B1"/>
    <w:rsid w:val="003E7C74"/>
    <w:rsid w:val="003F31C6"/>
    <w:rsid w:val="0040225B"/>
    <w:rsid w:val="00402DA2"/>
    <w:rsid w:val="00425AC2"/>
    <w:rsid w:val="00436190"/>
    <w:rsid w:val="0044771F"/>
    <w:rsid w:val="004A0CE0"/>
    <w:rsid w:val="004B151D"/>
    <w:rsid w:val="004C7243"/>
    <w:rsid w:val="004E21DE"/>
    <w:rsid w:val="004E3C57"/>
    <w:rsid w:val="004E3CB2"/>
    <w:rsid w:val="00525813"/>
    <w:rsid w:val="0053513F"/>
    <w:rsid w:val="00574405"/>
    <w:rsid w:val="005A0E21"/>
    <w:rsid w:val="005B3A34"/>
    <w:rsid w:val="005D49AF"/>
    <w:rsid w:val="005E415C"/>
    <w:rsid w:val="005E7946"/>
    <w:rsid w:val="005F7475"/>
    <w:rsid w:val="0060769C"/>
    <w:rsid w:val="00611299"/>
    <w:rsid w:val="00616365"/>
    <w:rsid w:val="00616F3B"/>
    <w:rsid w:val="006249A7"/>
    <w:rsid w:val="0064225B"/>
    <w:rsid w:val="006949BC"/>
    <w:rsid w:val="006D1229"/>
    <w:rsid w:val="006D7A18"/>
    <w:rsid w:val="00723B7F"/>
    <w:rsid w:val="00725861"/>
    <w:rsid w:val="0073393A"/>
    <w:rsid w:val="0073539D"/>
    <w:rsid w:val="00767B8A"/>
    <w:rsid w:val="00775481"/>
    <w:rsid w:val="007A233B"/>
    <w:rsid w:val="007B4863"/>
    <w:rsid w:val="007C65E6"/>
    <w:rsid w:val="007D406B"/>
    <w:rsid w:val="007D4407"/>
    <w:rsid w:val="007E1CA3"/>
    <w:rsid w:val="00807C55"/>
    <w:rsid w:val="00821713"/>
    <w:rsid w:val="00827050"/>
    <w:rsid w:val="0083278B"/>
    <w:rsid w:val="00834538"/>
    <w:rsid w:val="00850E89"/>
    <w:rsid w:val="00866C9C"/>
    <w:rsid w:val="008930E4"/>
    <w:rsid w:val="00893821"/>
    <w:rsid w:val="008A7B9C"/>
    <w:rsid w:val="008B4754"/>
    <w:rsid w:val="008E4C81"/>
    <w:rsid w:val="008E6A7A"/>
    <w:rsid w:val="008F1038"/>
    <w:rsid w:val="008F7046"/>
    <w:rsid w:val="009005FC"/>
    <w:rsid w:val="00905964"/>
    <w:rsid w:val="00943315"/>
    <w:rsid w:val="009627C3"/>
    <w:rsid w:val="00970B97"/>
    <w:rsid w:val="009B696B"/>
    <w:rsid w:val="009B7671"/>
    <w:rsid w:val="009F056E"/>
    <w:rsid w:val="00A22E17"/>
    <w:rsid w:val="00A26DCD"/>
    <w:rsid w:val="00A314BB"/>
    <w:rsid w:val="00A32B7D"/>
    <w:rsid w:val="00A4524C"/>
    <w:rsid w:val="00A55690"/>
    <w:rsid w:val="00A5596B"/>
    <w:rsid w:val="00A646B3"/>
    <w:rsid w:val="00A6739B"/>
    <w:rsid w:val="00A90413"/>
    <w:rsid w:val="00AB0A9C"/>
    <w:rsid w:val="00AB7119"/>
    <w:rsid w:val="00AD22F3"/>
    <w:rsid w:val="00AD5855"/>
    <w:rsid w:val="00AE173B"/>
    <w:rsid w:val="00AE7444"/>
    <w:rsid w:val="00AE7500"/>
    <w:rsid w:val="00AE7F87"/>
    <w:rsid w:val="00AF3542"/>
    <w:rsid w:val="00AF5ABE"/>
    <w:rsid w:val="00B00415"/>
    <w:rsid w:val="00B1000D"/>
    <w:rsid w:val="00B10134"/>
    <w:rsid w:val="00B16BFE"/>
    <w:rsid w:val="00B500E5"/>
    <w:rsid w:val="00B8416C"/>
    <w:rsid w:val="00BA39BB"/>
    <w:rsid w:val="00BA3B3D"/>
    <w:rsid w:val="00BD1909"/>
    <w:rsid w:val="00BE5E16"/>
    <w:rsid w:val="00BE5FD1"/>
    <w:rsid w:val="00C06E05"/>
    <w:rsid w:val="00C17370"/>
    <w:rsid w:val="00C26EC0"/>
    <w:rsid w:val="00C56C77"/>
    <w:rsid w:val="00CB7B3E"/>
    <w:rsid w:val="00CC739D"/>
    <w:rsid w:val="00D04468"/>
    <w:rsid w:val="00D36257"/>
    <w:rsid w:val="00D4687E"/>
    <w:rsid w:val="00D53A12"/>
    <w:rsid w:val="00DB0C43"/>
    <w:rsid w:val="00DE3354"/>
    <w:rsid w:val="00DF6C60"/>
    <w:rsid w:val="00DF7DCD"/>
    <w:rsid w:val="00E140B5"/>
    <w:rsid w:val="00E21863"/>
    <w:rsid w:val="00EB7D28"/>
    <w:rsid w:val="00EC0D0C"/>
    <w:rsid w:val="00ED4A2C"/>
    <w:rsid w:val="00EF6940"/>
    <w:rsid w:val="00F2044A"/>
    <w:rsid w:val="00F20BFC"/>
    <w:rsid w:val="00F24D5F"/>
    <w:rsid w:val="00F726C3"/>
    <w:rsid w:val="00F8554C"/>
    <w:rsid w:val="00F97A90"/>
    <w:rsid w:val="00FC2F35"/>
    <w:rsid w:val="00FC3FD7"/>
    <w:rsid w:val="00FD1FC6"/>
    <w:rsid w:val="00FE01C0"/>
    <w:rsid w:val="00FE586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9EE9EF9-9297-4FE4-8B39-75254FA2C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E3CB2"/>
    <w:rPr>
      <w:sz w:val="24"/>
      <w:lang w:val="en-US" w:eastAsia="en-US"/>
    </w:rPr>
  </w:style>
  <w:style w:type="paragraph" w:styleId="1">
    <w:name w:val="heading 1"/>
    <w:basedOn w:val="a"/>
    <w:next w:val="Paragraph"/>
    <w:qFormat/>
    <w:pPr>
      <w:keepNext/>
      <w:spacing w:before="240" w:after="240"/>
      <w:jc w:val="center"/>
      <w:outlineLvl w:val="0"/>
    </w:pPr>
    <w:rPr>
      <w:b/>
      <w:caps/>
    </w:rPr>
  </w:style>
  <w:style w:type="paragraph" w:styleId="2">
    <w:name w:val="heading 2"/>
    <w:basedOn w:val="a"/>
    <w:next w:val="Paragraph"/>
    <w:qFormat/>
    <w:pPr>
      <w:keepNext/>
      <w:spacing w:before="240" w:after="240"/>
      <w:jc w:val="center"/>
      <w:outlineLvl w:val="1"/>
    </w:pPr>
    <w:rPr>
      <w:b/>
    </w:rPr>
  </w:style>
  <w:style w:type="paragraph" w:styleId="3">
    <w:name w:val="heading 3"/>
    <w:basedOn w:val="a"/>
    <w:next w:val="a"/>
    <w:qFormat/>
    <w:pPr>
      <w:keepNext/>
      <w:spacing w:before="240" w:after="240"/>
      <w:jc w:val="center"/>
      <w:outlineLvl w:val="2"/>
    </w:pPr>
    <w:rPr>
      <w: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Pr>
      <w:sz w:val="16"/>
    </w:rPr>
  </w:style>
  <w:style w:type="paragraph" w:customStyle="1" w:styleId="PaperTitle">
    <w:name w:val="Paper Title"/>
    <w:basedOn w:val="a"/>
    <w:next w:val="AuthorName"/>
    <w:pPr>
      <w:spacing w:before="1200"/>
      <w:jc w:val="center"/>
    </w:pPr>
    <w:rPr>
      <w:b/>
      <w:sz w:val="36"/>
    </w:rPr>
  </w:style>
  <w:style w:type="paragraph" w:customStyle="1" w:styleId="AuthorName">
    <w:name w:val="Author Name"/>
    <w:basedOn w:val="a"/>
    <w:next w:val="AuthorAffiliation"/>
    <w:pPr>
      <w:spacing w:before="360" w:after="360"/>
      <w:jc w:val="center"/>
    </w:pPr>
    <w:rPr>
      <w:sz w:val="28"/>
    </w:rPr>
  </w:style>
  <w:style w:type="paragraph" w:customStyle="1" w:styleId="AuthorAffiliation">
    <w:name w:val="Author Affiliation"/>
    <w:basedOn w:val="a"/>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4">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5">
    <w:name w:val="Balloon Text"/>
    <w:basedOn w:val="a"/>
    <w:link w:val="a6"/>
    <w:rsid w:val="00114AB1"/>
    <w:rPr>
      <w:rFonts w:ascii="Tahoma" w:hAnsi="Tahoma" w:cs="Tahoma"/>
      <w:sz w:val="16"/>
      <w:szCs w:val="16"/>
    </w:rPr>
  </w:style>
  <w:style w:type="character" w:customStyle="1" w:styleId="a6">
    <w:name w:val="Текст выноски Знак"/>
    <w:basedOn w:val="a0"/>
    <w:link w:val="a5"/>
    <w:rsid w:val="00114AB1"/>
    <w:rPr>
      <w:rFonts w:ascii="Tahoma" w:hAnsi="Tahoma" w:cs="Tahoma"/>
      <w:sz w:val="16"/>
      <w:szCs w:val="16"/>
      <w:lang w:val="en-US" w:eastAsia="en-US"/>
    </w:rPr>
  </w:style>
  <w:style w:type="character" w:styleId="a7">
    <w:name w:val="Hyperlink"/>
    <w:uiPriority w:val="99"/>
    <w:rPr>
      <w:color w:val="0000FF"/>
      <w:u w:val="single"/>
    </w:rPr>
  </w:style>
  <w:style w:type="table" w:styleId="a8">
    <w:name w:val="Table Grid"/>
    <w:basedOn w:val="a1"/>
    <w:rsid w:val="006422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a"/>
    <w:qFormat/>
    <w:rsid w:val="001D469C"/>
    <w:pPr>
      <w:jc w:val="center"/>
    </w:pPr>
    <w:rPr>
      <w:sz w:val="20"/>
    </w:rPr>
  </w:style>
  <w:style w:type="paragraph" w:styleId="a9">
    <w:name w:val="Normal (Web)"/>
    <w:basedOn w:val="a"/>
    <w:uiPriority w:val="99"/>
    <w:unhideWhenUsed/>
    <w:rsid w:val="005F7475"/>
    <w:pPr>
      <w:spacing w:before="100" w:beforeAutospacing="1" w:after="100" w:afterAutospacing="1"/>
    </w:pPr>
    <w:rPr>
      <w:szCs w:val="24"/>
      <w:lang w:val="en-GB" w:eastAsia="en-GB"/>
    </w:rPr>
  </w:style>
  <w:style w:type="character" w:styleId="aa">
    <w:name w:val="Strong"/>
    <w:basedOn w:val="a0"/>
    <w:uiPriority w:val="22"/>
    <w:qFormat/>
    <w:rsid w:val="005F7475"/>
    <w:rPr>
      <w:b/>
      <w:bCs/>
    </w:rPr>
  </w:style>
  <w:style w:type="character" w:styleId="ab">
    <w:name w:val="Emphasis"/>
    <w:basedOn w:val="a0"/>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citationvolume">
    <w:name w:val="citationvolume"/>
    <w:basedOn w:val="a0"/>
    <w:rsid w:val="00E21863"/>
  </w:style>
  <w:style w:type="character" w:customStyle="1" w:styleId="apple-converted-space">
    <w:name w:val="apple-converted-space"/>
    <w:basedOn w:val="a0"/>
    <w:rsid w:val="00AE74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dim\Google%20&#1044;&#1080;&#1089;&#1082;\&#1050;&#1086;&#1084;&#1072;&#1085;&#1076;&#1080;&#1088;&#1086;&#1074;&#1082;&#1080;\2016%20&#1053;&#1086;&#1074;&#1086;&#1089;&#1080;&#1073;&#1080;&#1088;&#1089;&#1082;\8x11WordTemplates\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63CAA-2DC3-4DD2-9A70-FB8A80C36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2830</TotalTime>
  <Pages>4</Pages>
  <Words>1647</Words>
  <Characters>9389</Characters>
  <Application>Microsoft Office Word</Application>
  <DocSecurity>0</DocSecurity>
  <Lines>78</Lines>
  <Paragraphs>22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Title Goes Here</vt:lpstr>
      <vt:lpstr>Title Goes Here</vt:lpstr>
    </vt:vector>
  </TitlesOfParts>
  <Company>PPI</Company>
  <LinksUpToDate>false</LinksUpToDate>
  <CharactersWithSpaces>11014</CharactersWithSpaces>
  <SharedDoc>false</SharedDoc>
  <HLinks>
    <vt:vector size="6" baseType="variant">
      <vt:variant>
        <vt:i4>3342376</vt:i4>
      </vt:variant>
      <vt:variant>
        <vt:i4>0</vt:i4>
      </vt:variant>
      <vt:variant>
        <vt:i4>0</vt:i4>
      </vt:variant>
      <vt:variant>
        <vt:i4>5</vt:i4>
      </vt:variant>
      <vt:variant>
        <vt:lpwstr>http://www.aip.org/pacs/index.html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Vadim</dc:creator>
  <cp:lastModifiedBy>Vadim</cp:lastModifiedBy>
  <cp:revision>3</cp:revision>
  <cp:lastPrinted>2016-08-06T14:32:00Z</cp:lastPrinted>
  <dcterms:created xsi:type="dcterms:W3CDTF">2016-09-11T06:38:00Z</dcterms:created>
  <dcterms:modified xsi:type="dcterms:W3CDTF">2016-09-13T09:18:00Z</dcterms:modified>
</cp:coreProperties>
</file>