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CF6" w:rsidRDefault="00B85CF6" w:rsidP="007C3069">
      <w:pPr>
        <w:pStyle w:val="PaperTitle"/>
      </w:pPr>
      <w:r w:rsidRPr="00B85CF6">
        <w:t xml:space="preserve">Development </w:t>
      </w:r>
      <w:r w:rsidR="00617709">
        <w:t>o</w:t>
      </w:r>
      <w:r w:rsidR="00617709" w:rsidRPr="00B85CF6">
        <w:t xml:space="preserve">f High-Power Gas Discharge </w:t>
      </w:r>
      <w:r w:rsidR="00617709">
        <w:t>a</w:t>
      </w:r>
      <w:r w:rsidR="00617709" w:rsidRPr="00B85CF6">
        <w:t xml:space="preserve">nd Electronic Vacuum Devices </w:t>
      </w:r>
      <w:r w:rsidR="00617709">
        <w:t>f</w:t>
      </w:r>
      <w:r w:rsidR="00617709" w:rsidRPr="00B85CF6">
        <w:t xml:space="preserve">or Pulsed </w:t>
      </w:r>
      <w:proofErr w:type="spellStart"/>
      <w:r w:rsidR="00617709" w:rsidRPr="00B85CF6">
        <w:t>Electrophysic</w:t>
      </w:r>
      <w:proofErr w:type="spellEnd"/>
      <w:r w:rsidR="00617709" w:rsidRPr="00B85CF6">
        <w:t xml:space="preserve">. </w:t>
      </w:r>
    </w:p>
    <w:p w:rsidR="00B85CF6" w:rsidRPr="00B85CF6" w:rsidRDefault="00B85CF6" w:rsidP="00B85CF6">
      <w:pPr>
        <w:pStyle w:val="PaperTitle"/>
        <w:spacing w:before="0"/>
      </w:pPr>
      <w:r w:rsidRPr="00B85CF6">
        <w:t xml:space="preserve">Current </w:t>
      </w:r>
      <w:r w:rsidR="00617709" w:rsidRPr="00B85CF6">
        <w:t xml:space="preserve">Status </w:t>
      </w:r>
      <w:r w:rsidR="00617709">
        <w:t>a</w:t>
      </w:r>
      <w:r w:rsidR="00617709" w:rsidRPr="00B85CF6">
        <w:t>nd Prospects</w:t>
      </w:r>
    </w:p>
    <w:p w:rsidR="000C12A1" w:rsidRPr="00167AB5" w:rsidRDefault="000C12A1" w:rsidP="0022762D">
      <w:pPr>
        <w:spacing w:before="360" w:after="360"/>
        <w:jc w:val="center"/>
        <w:rPr>
          <w:sz w:val="28"/>
        </w:rPr>
      </w:pPr>
      <w:proofErr w:type="spellStart"/>
      <w:r w:rsidRPr="000C12A1">
        <w:rPr>
          <w:sz w:val="28"/>
        </w:rPr>
        <w:t>V</w:t>
      </w:r>
      <w:r w:rsidRPr="00167AB5">
        <w:rPr>
          <w:sz w:val="28"/>
        </w:rPr>
        <w:t>.</w:t>
      </w:r>
      <w:r w:rsidRPr="000C12A1">
        <w:rPr>
          <w:sz w:val="28"/>
        </w:rPr>
        <w:t>D</w:t>
      </w:r>
      <w:r w:rsidRPr="00167AB5">
        <w:rPr>
          <w:sz w:val="28"/>
        </w:rPr>
        <w:t>.</w:t>
      </w:r>
      <w:r w:rsidRPr="000C12A1">
        <w:rPr>
          <w:sz w:val="28"/>
        </w:rPr>
        <w:t>Bochkov</w:t>
      </w:r>
      <w:proofErr w:type="spellEnd"/>
      <w:r w:rsidRPr="00167AB5">
        <w:rPr>
          <w:sz w:val="28"/>
        </w:rPr>
        <w:t xml:space="preserve">, </w:t>
      </w:r>
      <w:proofErr w:type="spellStart"/>
      <w:r w:rsidRPr="000C12A1">
        <w:rPr>
          <w:sz w:val="28"/>
        </w:rPr>
        <w:t>D</w:t>
      </w:r>
      <w:r w:rsidRPr="00167AB5">
        <w:rPr>
          <w:sz w:val="28"/>
        </w:rPr>
        <w:t>.</w:t>
      </w:r>
      <w:r w:rsidRPr="000C12A1">
        <w:rPr>
          <w:sz w:val="28"/>
        </w:rPr>
        <w:t>V</w:t>
      </w:r>
      <w:r w:rsidRPr="00167AB5">
        <w:rPr>
          <w:sz w:val="28"/>
        </w:rPr>
        <w:t>.</w:t>
      </w:r>
      <w:r w:rsidRPr="000C12A1">
        <w:rPr>
          <w:sz w:val="28"/>
        </w:rPr>
        <w:t>Bochkov</w:t>
      </w:r>
      <w:proofErr w:type="spellEnd"/>
      <w:r w:rsidRPr="00167AB5">
        <w:rPr>
          <w:sz w:val="28"/>
        </w:rPr>
        <w:t xml:space="preserve">, </w:t>
      </w:r>
      <w:proofErr w:type="spellStart"/>
      <w:r w:rsidRPr="000C12A1">
        <w:rPr>
          <w:sz w:val="28"/>
        </w:rPr>
        <w:t>V</w:t>
      </w:r>
      <w:r w:rsidRPr="00167AB5">
        <w:rPr>
          <w:sz w:val="28"/>
        </w:rPr>
        <w:t>.</w:t>
      </w:r>
      <w:r w:rsidRPr="000C12A1">
        <w:rPr>
          <w:sz w:val="28"/>
        </w:rPr>
        <w:t>M</w:t>
      </w:r>
      <w:r w:rsidRPr="00167AB5">
        <w:rPr>
          <w:sz w:val="28"/>
        </w:rPr>
        <w:t>.</w:t>
      </w:r>
      <w:r w:rsidRPr="000C12A1">
        <w:rPr>
          <w:sz w:val="28"/>
        </w:rPr>
        <w:t>Dyagilev</w:t>
      </w:r>
      <w:proofErr w:type="spellEnd"/>
      <w:r w:rsidRPr="00167AB5">
        <w:rPr>
          <w:sz w:val="28"/>
        </w:rPr>
        <w:t xml:space="preserve">, </w:t>
      </w:r>
      <w:proofErr w:type="spellStart"/>
      <w:r w:rsidRPr="000C12A1">
        <w:rPr>
          <w:sz w:val="28"/>
        </w:rPr>
        <w:t>P</w:t>
      </w:r>
      <w:r w:rsidRPr="00167AB5">
        <w:rPr>
          <w:sz w:val="28"/>
        </w:rPr>
        <w:t>.</w:t>
      </w:r>
      <w:r w:rsidRPr="000C12A1">
        <w:rPr>
          <w:sz w:val="28"/>
        </w:rPr>
        <w:t>V</w:t>
      </w:r>
      <w:r w:rsidRPr="00167AB5">
        <w:rPr>
          <w:sz w:val="28"/>
        </w:rPr>
        <w:t>.</w:t>
      </w:r>
      <w:r w:rsidRPr="000C12A1">
        <w:rPr>
          <w:sz w:val="28"/>
        </w:rPr>
        <w:t>Panov</w:t>
      </w:r>
      <w:proofErr w:type="spellEnd"/>
      <w:r w:rsidRPr="00167AB5">
        <w:rPr>
          <w:sz w:val="28"/>
        </w:rPr>
        <w:t xml:space="preserve">, </w:t>
      </w:r>
      <w:proofErr w:type="spellStart"/>
      <w:r w:rsidRPr="000C12A1">
        <w:rPr>
          <w:sz w:val="28"/>
        </w:rPr>
        <w:t>V</w:t>
      </w:r>
      <w:r w:rsidRPr="00167AB5">
        <w:rPr>
          <w:sz w:val="28"/>
        </w:rPr>
        <w:t>.</w:t>
      </w:r>
      <w:r w:rsidRPr="000C12A1">
        <w:rPr>
          <w:sz w:val="28"/>
        </w:rPr>
        <w:t>I</w:t>
      </w:r>
      <w:r w:rsidRPr="00167AB5">
        <w:rPr>
          <w:sz w:val="28"/>
        </w:rPr>
        <w:t>.</w:t>
      </w:r>
      <w:r w:rsidRPr="000C12A1">
        <w:rPr>
          <w:sz w:val="28"/>
        </w:rPr>
        <w:t>Teryoshin</w:t>
      </w:r>
      <w:proofErr w:type="spellEnd"/>
      <w:r w:rsidRPr="00167AB5">
        <w:rPr>
          <w:sz w:val="28"/>
        </w:rPr>
        <w:t xml:space="preserve">, </w:t>
      </w:r>
      <w:proofErr w:type="spellStart"/>
      <w:r w:rsidRPr="000C12A1">
        <w:rPr>
          <w:sz w:val="28"/>
        </w:rPr>
        <w:t>I</w:t>
      </w:r>
      <w:r w:rsidRPr="00167AB5">
        <w:rPr>
          <w:sz w:val="28"/>
        </w:rPr>
        <w:t>.</w:t>
      </w:r>
      <w:r w:rsidRPr="000C12A1">
        <w:rPr>
          <w:sz w:val="28"/>
        </w:rPr>
        <w:t>V</w:t>
      </w:r>
      <w:r w:rsidRPr="00167AB5">
        <w:rPr>
          <w:sz w:val="28"/>
        </w:rPr>
        <w:t>.</w:t>
      </w:r>
      <w:r w:rsidRPr="000C12A1">
        <w:rPr>
          <w:sz w:val="28"/>
        </w:rPr>
        <w:t>Vasiliev</w:t>
      </w:r>
      <w:proofErr w:type="spellEnd"/>
      <w:r w:rsidRPr="00167AB5">
        <w:rPr>
          <w:sz w:val="28"/>
        </w:rPr>
        <w:t xml:space="preserve"> </w:t>
      </w:r>
      <w:r>
        <w:rPr>
          <w:sz w:val="28"/>
        </w:rPr>
        <w:t>and</w:t>
      </w:r>
      <w:r w:rsidRPr="00167AB5">
        <w:rPr>
          <w:sz w:val="28"/>
        </w:rPr>
        <w:t xml:space="preserve"> </w:t>
      </w:r>
      <w:proofErr w:type="spellStart"/>
      <w:r w:rsidRPr="000C12A1">
        <w:rPr>
          <w:sz w:val="28"/>
        </w:rPr>
        <w:t>V</w:t>
      </w:r>
      <w:r w:rsidRPr="00167AB5">
        <w:rPr>
          <w:sz w:val="28"/>
        </w:rPr>
        <w:t>.</w:t>
      </w:r>
      <w:r w:rsidRPr="000C12A1">
        <w:rPr>
          <w:sz w:val="28"/>
        </w:rPr>
        <w:t>G</w:t>
      </w:r>
      <w:r w:rsidRPr="00167AB5">
        <w:rPr>
          <w:sz w:val="28"/>
        </w:rPr>
        <w:t>.</w:t>
      </w:r>
      <w:r w:rsidRPr="000C12A1">
        <w:rPr>
          <w:sz w:val="28"/>
        </w:rPr>
        <w:t>Ushich</w:t>
      </w:r>
      <w:proofErr w:type="spellEnd"/>
    </w:p>
    <w:p w:rsidR="000C12A1" w:rsidRPr="000C12A1" w:rsidRDefault="000C12A1" w:rsidP="000C12A1">
      <w:pPr>
        <w:spacing w:line="360" w:lineRule="auto"/>
        <w:jc w:val="center"/>
        <w:rPr>
          <w:i/>
          <w:sz w:val="20"/>
        </w:rPr>
      </w:pPr>
      <w:r w:rsidRPr="000C12A1">
        <w:rPr>
          <w:i/>
          <w:sz w:val="20"/>
        </w:rPr>
        <w:t xml:space="preserve">Pulsed Technologies Ltd., 5, </w:t>
      </w:r>
      <w:proofErr w:type="spellStart"/>
      <w:r w:rsidRPr="000C12A1">
        <w:rPr>
          <w:i/>
          <w:sz w:val="20"/>
        </w:rPr>
        <w:t>Yablochkova</w:t>
      </w:r>
      <w:proofErr w:type="spellEnd"/>
      <w:r w:rsidRPr="000C12A1">
        <w:rPr>
          <w:i/>
          <w:sz w:val="20"/>
        </w:rPr>
        <w:t xml:space="preserve"> Str., 390023 Ryazan, Russia</w:t>
      </w:r>
    </w:p>
    <w:p w:rsidR="000C12A1" w:rsidRPr="0022762D" w:rsidRDefault="000C12A1" w:rsidP="00040369">
      <w:pPr>
        <w:pStyle w:val="Abstract"/>
        <w:rPr>
          <w:bCs/>
        </w:rPr>
      </w:pPr>
      <w:r w:rsidRPr="0022762D">
        <w:rPr>
          <w:b/>
          <w:bCs/>
        </w:rPr>
        <w:t>Abstract</w:t>
      </w:r>
      <w:r w:rsidRPr="0022762D">
        <w:rPr>
          <w:bCs/>
        </w:rPr>
        <w:t xml:space="preserve">. In the paper the most recent research and development efforts made by Pulsed Technologies ltd. are presented. Design and essential characteristics of power high-voltage TDI and TPI-thyratrons (Pseudospark Switches), spark gaps, as well as X-ray tubes of the new generation are described. The report cites examples of emerging applications in leading world </w:t>
      </w:r>
      <w:r w:rsidRPr="00040369">
        <w:rPr>
          <w:sz w:val="20"/>
        </w:rPr>
        <w:t>institutions</w:t>
      </w:r>
      <w:r w:rsidRPr="0022762D">
        <w:rPr>
          <w:bCs/>
        </w:rPr>
        <w:t>, including high-power pulsed Electro-Physics (EP).</w:t>
      </w:r>
    </w:p>
    <w:p w:rsidR="000C12A1" w:rsidRPr="006153ED" w:rsidRDefault="000C12A1" w:rsidP="00040369">
      <w:pPr>
        <w:pStyle w:val="1"/>
        <w:keepLines/>
        <w:tabs>
          <w:tab w:val="left" w:pos="216"/>
          <w:tab w:val="num" w:pos="576"/>
        </w:tabs>
        <w:spacing w:before="120"/>
      </w:pPr>
      <w:r w:rsidRPr="006153ED">
        <w:t xml:space="preserve">Current Status of Investigations and Developments </w:t>
      </w:r>
    </w:p>
    <w:p w:rsidR="000C12A1" w:rsidRPr="000C12A1" w:rsidRDefault="000C12A1" w:rsidP="00040369">
      <w:pPr>
        <w:pStyle w:val="ac"/>
        <w:spacing w:after="0" w:line="240" w:lineRule="auto"/>
        <w:ind w:firstLine="289"/>
      </w:pPr>
      <w:r w:rsidRPr="000C12A1">
        <w:t>High power pulse switches have always been the key elements of Pulsed Power systems [1-5]. Recently, the significance of Pulsed Power applications has become even more conspicuous due to expanding utilization of particle accelerators, advances in research and commercialization of hydro-pulse and electro-magnet pulse technologies,   plasma fusion electrical generators (FRC - Field Reversed Configuration and MTF - Magnetized Target Fusion approach) [6, 7],  plasma focus machines [8], non-thermal treatment of materials and food stuff in ultra-power electrical fields [9, 10] etc.</w:t>
      </w:r>
    </w:p>
    <w:p w:rsidR="000C12A1" w:rsidRPr="000C12A1" w:rsidRDefault="000C12A1" w:rsidP="00040369">
      <w:pPr>
        <w:pStyle w:val="ac"/>
        <w:spacing w:after="0" w:line="240" w:lineRule="auto"/>
        <w:ind w:firstLine="289"/>
      </w:pPr>
      <w:r w:rsidRPr="000C12A1">
        <w:t>Widely known pulse hydrogen thyratrons, if compared to other switches, feature the longest lifetime, maximal efficiency (up to 99%) and switching power, best rate of anode current rise (up to 10</w:t>
      </w:r>
      <w:r w:rsidRPr="000C12A1">
        <w:rPr>
          <w:vertAlign w:val="superscript"/>
        </w:rPr>
        <w:t>11</w:t>
      </w:r>
      <w:r w:rsidRPr="000C12A1">
        <w:t xml:space="preserve"> A/s)  and timing stability (jitter), ability to operate in various climatic conditions and in conditions of  substantial electrical, radiation and mechanical overloads. However thermionic cathode has always been the most critical factor, limiting lifetime in the conditions to some hundreds of hours. </w:t>
      </w:r>
    </w:p>
    <w:p w:rsidR="000C12A1" w:rsidRPr="000C12A1" w:rsidRDefault="000C12A1" w:rsidP="00040369">
      <w:pPr>
        <w:pStyle w:val="ac"/>
        <w:spacing w:after="0" w:line="240" w:lineRule="auto"/>
        <w:ind w:firstLine="289"/>
      </w:pPr>
      <w:r w:rsidRPr="000C12A1">
        <w:t xml:space="preserve">The analysis of pulse thyratrons capabilities has shown that these switches are the most perspective and adequate for further improvements, which has evoked a task to develop principally new fast plasma switches for Pulsed Power applications with perfected operating parameters, especially lifetime and hence, competitive abilities. One of possible solutions of the problem would be a development of  thyratron switch, based on a phenomenon of pseudospark discharge. </w:t>
      </w:r>
    </w:p>
    <w:p w:rsidR="000C12A1" w:rsidRPr="000C12A1" w:rsidRDefault="000C12A1" w:rsidP="00040369">
      <w:pPr>
        <w:pStyle w:val="ac"/>
        <w:spacing w:after="0" w:line="240" w:lineRule="auto"/>
        <w:ind w:firstLine="289"/>
      </w:pPr>
      <w:r w:rsidRPr="00502B6C">
        <w:rPr>
          <w:u w:val="single"/>
        </w:rPr>
        <w:t>A few references to history</w:t>
      </w:r>
      <w:r w:rsidRPr="000C12A1">
        <w:t xml:space="preserve">. Attempts to create a plasma switch, free of shortcomings associated with classical thyratrons and at the same time featuring best capabilities of spark gaps and ignitrons, were made long before, in early 1950s. One of the first work in this direction was a research of </w:t>
      </w:r>
      <w:proofErr w:type="spellStart"/>
      <w:r w:rsidRPr="000C12A1">
        <w:t>superdense</w:t>
      </w:r>
      <w:proofErr w:type="spellEnd"/>
      <w:r w:rsidRPr="000C12A1">
        <w:t xml:space="preserve"> glow discharge by a team of B.N. </w:t>
      </w:r>
      <w:proofErr w:type="spellStart"/>
      <w:r w:rsidRPr="000C12A1">
        <w:t>Klyarfeld</w:t>
      </w:r>
      <w:proofErr w:type="spellEnd"/>
      <w:r w:rsidRPr="000C12A1">
        <w:t xml:space="preserve"> [11]. In Russia the investigations were conducted by several scientific groups in Moscow, </w:t>
      </w:r>
      <w:proofErr w:type="spellStart"/>
      <w:r w:rsidRPr="000C12A1">
        <w:t>Sarov</w:t>
      </w:r>
      <w:proofErr w:type="spellEnd"/>
      <w:r w:rsidRPr="000C12A1">
        <w:t xml:space="preserve">, Kiev, Kharkov and Ryazan. They included research of </w:t>
      </w:r>
      <w:proofErr w:type="spellStart"/>
      <w:r w:rsidRPr="000C12A1">
        <w:t>superdense</w:t>
      </w:r>
      <w:proofErr w:type="spellEnd"/>
      <w:r w:rsidRPr="000C12A1">
        <w:t xml:space="preserve"> glow discharge, electrode material erosion, effect of magnetic field. Finally some prototypes of cold cathode thyratrons were devised and built. However no serious result was achieved. And only after extensive investigations of low-pressure discharge in 1980s in Germany, US, France, Russia and other countries started [12] with assistance from new methods and instruments for plasma diagnostics, engineers succeeded to present a series of thyratrons with unheated cathode. A significant contribution to the understanding of plasma </w:t>
      </w:r>
      <w:proofErr w:type="spellStart"/>
      <w:r w:rsidRPr="000C12A1">
        <w:t>phisics</w:t>
      </w:r>
      <w:proofErr w:type="spellEnd"/>
      <w:r w:rsidRPr="000C12A1">
        <w:t xml:space="preserve"> in the switches, known also as pseudospark switches (PSS), was  made a research teams managed by </w:t>
      </w:r>
      <w:proofErr w:type="spellStart"/>
      <w:r w:rsidRPr="000C12A1">
        <w:t>J.Christiansen</w:t>
      </w:r>
      <w:proofErr w:type="spellEnd"/>
      <w:r w:rsidRPr="000C12A1">
        <w:t xml:space="preserve">, </w:t>
      </w:r>
      <w:proofErr w:type="spellStart"/>
      <w:r w:rsidRPr="000C12A1">
        <w:t>K.Frank</w:t>
      </w:r>
      <w:proofErr w:type="spellEnd"/>
      <w:r w:rsidRPr="000C12A1">
        <w:t xml:space="preserve">, </w:t>
      </w:r>
      <w:proofErr w:type="spellStart"/>
      <w:r w:rsidRPr="000C12A1">
        <w:t>W.Hartmann</w:t>
      </w:r>
      <w:proofErr w:type="spellEnd"/>
      <w:r w:rsidRPr="000C12A1">
        <w:t xml:space="preserve"> (Germany), </w:t>
      </w:r>
      <w:proofErr w:type="spellStart"/>
      <w:r w:rsidRPr="000C12A1">
        <w:t>M.A.Gundersen</w:t>
      </w:r>
      <w:proofErr w:type="spellEnd"/>
      <w:r w:rsidRPr="000C12A1">
        <w:t xml:space="preserve"> (USA), G.A. </w:t>
      </w:r>
      <w:proofErr w:type="spellStart"/>
      <w:r w:rsidRPr="000C12A1">
        <w:t>Mesyats</w:t>
      </w:r>
      <w:proofErr w:type="spellEnd"/>
      <w:r w:rsidRPr="000C12A1">
        <w:t xml:space="preserve"> and  </w:t>
      </w:r>
      <w:proofErr w:type="spellStart"/>
      <w:r w:rsidRPr="000C12A1">
        <w:t>Yu.D</w:t>
      </w:r>
      <w:proofErr w:type="spellEnd"/>
      <w:r w:rsidRPr="000C12A1">
        <w:t xml:space="preserve">. </w:t>
      </w:r>
      <w:proofErr w:type="spellStart"/>
      <w:r w:rsidRPr="000C12A1">
        <w:t>Korolev</w:t>
      </w:r>
      <w:proofErr w:type="spellEnd"/>
      <w:r w:rsidRPr="000C12A1">
        <w:t xml:space="preserve"> (Russia).</w:t>
      </w:r>
    </w:p>
    <w:p w:rsidR="000C12A1" w:rsidRPr="000C12A1" w:rsidRDefault="000C12A1" w:rsidP="00040369">
      <w:pPr>
        <w:pStyle w:val="ac"/>
        <w:spacing w:after="0" w:line="240" w:lineRule="auto"/>
        <w:ind w:firstLine="289"/>
      </w:pPr>
      <w:r w:rsidRPr="000C12A1">
        <w:lastRenderedPageBreak/>
        <w:t xml:space="preserve">In Russia practical investigations and engineering were conducted by a private company Pulsed Technologies ltd.  (Ryazan) in close cooperation with physicists from High Current Electronics Institute, Joint Institute for High Temperature, </w:t>
      </w:r>
      <w:proofErr w:type="spellStart"/>
      <w:r w:rsidRPr="000C12A1">
        <w:t>Budker</w:t>
      </w:r>
      <w:proofErr w:type="spellEnd"/>
      <w:r w:rsidRPr="000C12A1">
        <w:t xml:space="preserve"> </w:t>
      </w:r>
      <w:proofErr w:type="spellStart"/>
      <w:r w:rsidRPr="000C12A1">
        <w:t>Insitute</w:t>
      </w:r>
      <w:proofErr w:type="spellEnd"/>
      <w:r w:rsidRPr="000C12A1">
        <w:t xml:space="preserve"> of Nuclear Physics. The very first  prototypes of Russian pseudospark switches had some fundamental distinctions in comparison with analogues, designed in Germany, France and USA [13, 14], providing improved timing parameters and some orders of magnitude longer lifetime  (http;//www.pulsetech.ru). </w:t>
      </w:r>
    </w:p>
    <w:p w:rsidR="000C12A1" w:rsidRPr="000C12A1" w:rsidRDefault="000C12A1" w:rsidP="00040369">
      <w:pPr>
        <w:pStyle w:val="ac"/>
        <w:spacing w:after="0" w:line="240" w:lineRule="auto"/>
        <w:ind w:firstLine="289"/>
      </w:pPr>
      <w:r w:rsidRPr="000C12A1">
        <w:t>There are two basics types of Pulsetech pseudospark switches, marked as TPI and TDI</w:t>
      </w:r>
      <w:r w:rsidR="001D1EEC">
        <w:t xml:space="preserve"> (Fig.1</w:t>
      </w:r>
      <w:r w:rsidR="00632F45">
        <w:t>a-1b</w:t>
      </w:r>
      <w:r w:rsidR="001D1EEC">
        <w:t>)</w:t>
      </w:r>
      <w:r w:rsidRPr="000C12A1">
        <w:t xml:space="preserve">, which span a vast variety  of applications with operating voltages up to 150 kV and peak currents up to 300 kA : </w:t>
      </w:r>
    </w:p>
    <w:p w:rsidR="000C12A1" w:rsidRPr="000C12A1" w:rsidRDefault="000C12A1" w:rsidP="00040369">
      <w:pPr>
        <w:pStyle w:val="ac"/>
        <w:numPr>
          <w:ilvl w:val="0"/>
          <w:numId w:val="4"/>
        </w:numPr>
        <w:spacing w:after="0" w:line="240" w:lineRule="auto"/>
        <w:ind w:left="0" w:firstLine="289"/>
      </w:pPr>
      <w:r w:rsidRPr="000C12A1">
        <w:t xml:space="preserve">TPI-type or Hollow Cathode Thyratrons [18-20] operate mainly with </w:t>
      </w:r>
      <w:proofErr w:type="spellStart"/>
      <w:r w:rsidRPr="000C12A1">
        <w:t>superdense</w:t>
      </w:r>
      <w:proofErr w:type="spellEnd"/>
      <w:r w:rsidRPr="000C12A1">
        <w:t xml:space="preserve"> glow, which propagates by sub-light ionization waves at non-local processes in gases. They are used for pulse switching of charge up to tenth of Coulomb in pulse power supplies at pulse repetition rate up to 100 kHz and pulse width from some nanoseconds to tens microseconds. In applications similar to classical hot cathode thyratrons the TPI switches can handle peak currents up to 20 kA within less than 2-10 ns with time jitter less than 200 picoseconds. They can also handle current reversals up to 100% of a forward peak current, hold off high inverse voltages, feature exclusively low for plasma and semiconductor switches recovery time and significantly longer life, having low cost, light weight and relatively small dimensions. </w:t>
      </w:r>
    </w:p>
    <w:p w:rsidR="000C12A1" w:rsidRDefault="000C12A1" w:rsidP="00040369">
      <w:pPr>
        <w:numPr>
          <w:ilvl w:val="0"/>
          <w:numId w:val="4"/>
        </w:numPr>
        <w:ind w:left="0" w:firstLine="289"/>
        <w:jc w:val="both"/>
      </w:pPr>
      <w:r w:rsidRPr="00632F45">
        <w:rPr>
          <w:spacing w:val="-1"/>
          <w:sz w:val="20"/>
        </w:rPr>
        <w:t xml:space="preserve">TDI-type – power and ultra high power thyratrons </w:t>
      </w:r>
      <w:r w:rsidRPr="00632F45">
        <w:rPr>
          <w:smallCaps/>
          <w:noProof/>
          <w:sz w:val="20"/>
        </w:rPr>
        <w:t xml:space="preserve">[22-24] </w:t>
      </w:r>
      <w:r w:rsidRPr="00632F45">
        <w:rPr>
          <w:spacing w:val="-1"/>
          <w:sz w:val="20"/>
        </w:rPr>
        <w:t xml:space="preserve">with electrode material vapor arc are intended for switching charges up to hundreds of Coulomb per pulse. TDI-switches with self-inductance less than 5 </w:t>
      </w:r>
      <w:proofErr w:type="spellStart"/>
      <w:r w:rsidRPr="00632F45">
        <w:rPr>
          <w:spacing w:val="-1"/>
          <w:sz w:val="20"/>
        </w:rPr>
        <w:t>nH</w:t>
      </w:r>
      <w:proofErr w:type="spellEnd"/>
      <w:r w:rsidRPr="00632F45">
        <w:rPr>
          <w:spacing w:val="-1"/>
          <w:sz w:val="20"/>
        </w:rPr>
        <w:t xml:space="preserve"> can handle peak currents up to 300 kA at voltage drop 25-50V, record rate of rise of current up to 5×10</w:t>
      </w:r>
      <w:r w:rsidRPr="00632F45">
        <w:rPr>
          <w:spacing w:val="-1"/>
          <w:sz w:val="20"/>
          <w:vertAlign w:val="superscript"/>
        </w:rPr>
        <w:t>12</w:t>
      </w:r>
      <w:r w:rsidRPr="00632F45">
        <w:rPr>
          <w:bCs/>
          <w:spacing w:val="-1"/>
          <w:sz w:val="20"/>
        </w:rPr>
        <w:t xml:space="preserve"> A</w:t>
      </w:r>
      <w:r w:rsidRPr="00632F45">
        <w:rPr>
          <w:spacing w:val="-1"/>
          <w:sz w:val="20"/>
        </w:rPr>
        <w:t xml:space="preserve">/s and time jitter less than 5 ns. </w:t>
      </w:r>
    </w:p>
    <w:tbl>
      <w:tblPr>
        <w:tblStyle w:val="a8"/>
        <w:tblpPr w:leftFromText="180" w:rightFromText="180" w:vertAnchor="page" w:horzAnchor="margin" w:tblpY="5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073"/>
      </w:tblGrid>
      <w:tr w:rsidR="000C12A1" w:rsidTr="00632F45">
        <w:trPr>
          <w:trHeight w:val="2471"/>
        </w:trPr>
        <w:tc>
          <w:tcPr>
            <w:tcW w:w="4503" w:type="dxa"/>
          </w:tcPr>
          <w:p w:rsidR="000C12A1" w:rsidRDefault="00FC6BFB" w:rsidP="00632F45">
            <w:pPr>
              <w:pStyle w:val="Paragraph"/>
              <w:ind w:firstLine="0"/>
              <w:jc w:val="center"/>
            </w:pPr>
            <w:r>
              <w:rPr>
                <w:noProof/>
                <w:lang w:val="ru-RU" w:eastAsia="ru-RU"/>
              </w:rPr>
              <w:pict>
                <v:shapetype id="_x0000_t202" coordsize="21600,21600" o:spt="202" path="m,l,21600r21600,l21600,xe">
                  <v:stroke joinstyle="miter"/>
                  <v:path gradientshapeok="t" o:connecttype="rect"/>
                </v:shapetype>
                <v:shape id="_x0000_s1027" type="#_x0000_t202" style="position:absolute;left:0;text-align:left;margin-left:-5.15pt;margin-top:5.3pt;width:26.25pt;height:21.75pt;z-index:251701248;mso-height-percent:200;mso-height-percent:200;mso-width-relative:margin;mso-height-relative:margin">
                  <v:textbox style="mso-next-textbox:#_x0000_s1027;mso-fit-shape-to-text:t">
                    <w:txbxContent>
                      <w:p w:rsidR="00FC6BFB" w:rsidRDefault="00FC6BFB" w:rsidP="00FC6BFB">
                        <w:pPr>
                          <w:rPr>
                            <w:lang w:val="ru-RU"/>
                          </w:rPr>
                        </w:pPr>
                        <w:r>
                          <w:t>a)</w:t>
                        </w:r>
                      </w:p>
                    </w:txbxContent>
                  </v:textbox>
                </v:shape>
              </w:pict>
            </w:r>
            <w:r w:rsidR="000C12A1">
              <w:rPr>
                <w:noProof/>
                <w:lang w:val="ru-RU" w:eastAsia="ru-RU"/>
              </w:rPr>
              <w:drawing>
                <wp:inline distT="0" distB="0" distL="0" distR="0">
                  <wp:extent cx="2764790" cy="139827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b="26050"/>
                          <a:stretch>
                            <a:fillRect/>
                          </a:stretch>
                        </pic:blipFill>
                        <pic:spPr bwMode="auto">
                          <a:xfrm>
                            <a:off x="0" y="0"/>
                            <a:ext cx="2764790" cy="1398270"/>
                          </a:xfrm>
                          <a:prstGeom prst="rect">
                            <a:avLst/>
                          </a:prstGeom>
                          <a:solidFill>
                            <a:srgbClr val="FFFFFF"/>
                          </a:solidFill>
                          <a:ln w="9525">
                            <a:noFill/>
                            <a:miter lim="800000"/>
                            <a:headEnd/>
                            <a:tailEnd/>
                          </a:ln>
                        </pic:spPr>
                      </pic:pic>
                    </a:graphicData>
                  </a:graphic>
                </wp:inline>
              </w:drawing>
            </w:r>
          </w:p>
        </w:tc>
        <w:tc>
          <w:tcPr>
            <w:tcW w:w="5073" w:type="dxa"/>
          </w:tcPr>
          <w:p w:rsidR="000C12A1" w:rsidRDefault="00632F45" w:rsidP="00632F45">
            <w:pPr>
              <w:pStyle w:val="Paragraph"/>
              <w:ind w:firstLine="0"/>
              <w:jc w:val="center"/>
            </w:pPr>
            <w:r>
              <w:rPr>
                <w:noProof/>
                <w:lang w:val="ru-RU" w:eastAsia="ru-RU"/>
              </w:rPr>
              <w:pict>
                <v:shape id="_x0000_s1028" type="#_x0000_t202" style="position:absolute;left:0;text-align:left;margin-left:-2.7pt;margin-top:4.85pt;width:26.25pt;height:21.75pt;z-index:251702272;mso-height-percent:200;mso-position-horizontal-relative:text;mso-position-vertical-relative:text;mso-height-percent:200;mso-width-relative:margin;mso-height-relative:margin">
                  <v:textbox style="mso-next-textbox:#_x0000_s1028;mso-fit-shape-to-text:t">
                    <w:txbxContent>
                      <w:p w:rsidR="00FC6BFB" w:rsidRDefault="00FC6BFB" w:rsidP="00FC6BFB">
                        <w:pPr>
                          <w:rPr>
                            <w:lang w:val="ru-RU"/>
                          </w:rPr>
                        </w:pPr>
                        <w:r>
                          <w:t>b)</w:t>
                        </w:r>
                      </w:p>
                    </w:txbxContent>
                  </v:textbox>
                </v:shape>
              </w:pict>
            </w:r>
            <w:r>
              <w:rPr>
                <w:noProof/>
                <w:lang w:val="ru-RU" w:eastAsia="ru-RU"/>
              </w:rPr>
              <w:pict>
                <v:shape id="_x0000_s1029" type="#_x0000_t202" style="position:absolute;left:0;text-align:left;margin-left:159.95pt;margin-top:4.85pt;width:26.25pt;height:21.75pt;z-index:251703296;mso-height-percent:200;mso-position-horizontal-relative:text;mso-position-vertical-relative:text;mso-height-percent:200;mso-width-relative:margin;mso-height-relative:margin">
                  <v:textbox style="mso-next-textbox:#_x0000_s1029;mso-fit-shape-to-text:t">
                    <w:txbxContent>
                      <w:p w:rsidR="00FC6BFB" w:rsidRDefault="00FC6BFB" w:rsidP="00FC6BFB">
                        <w:pPr>
                          <w:rPr>
                            <w:lang w:val="ru-RU"/>
                          </w:rPr>
                        </w:pPr>
                        <w:r>
                          <w:t>c)</w:t>
                        </w:r>
                      </w:p>
                    </w:txbxContent>
                  </v:textbox>
                </v:shape>
              </w:pict>
            </w:r>
            <w:r w:rsidR="001627BF">
              <w:rPr>
                <w:noProof/>
                <w:lang w:val="ru-RU" w:eastAsia="ru-RU"/>
              </w:rPr>
              <w:drawing>
                <wp:anchor distT="0" distB="0" distL="114300" distR="114300" simplePos="0" relativeHeight="251669504" behindDoc="0" locked="0" layoutInCell="1" allowOverlap="1">
                  <wp:simplePos x="0" y="0"/>
                  <wp:positionH relativeFrom="column">
                    <wp:posOffset>2031365</wp:posOffset>
                  </wp:positionH>
                  <wp:positionV relativeFrom="paragraph">
                    <wp:posOffset>49530</wp:posOffset>
                  </wp:positionV>
                  <wp:extent cx="1106805" cy="1473835"/>
                  <wp:effectExtent l="19050" t="0" r="0" b="0"/>
                  <wp:wrapSquare wrapText="bothSides"/>
                  <wp:docPr id="7" name="Рисунок 2" descr="КГР 30 и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ГР 30 и 60.JPG"/>
                          <pic:cNvPicPr>
                            <a:picLocks noChangeAspect="1" noChangeArrowheads="1"/>
                          </pic:cNvPicPr>
                        </pic:nvPicPr>
                        <pic:blipFill>
                          <a:blip r:embed="rId7" cstate="print"/>
                          <a:srcRect/>
                          <a:stretch>
                            <a:fillRect/>
                          </a:stretch>
                        </pic:blipFill>
                        <pic:spPr bwMode="auto">
                          <a:xfrm>
                            <a:off x="0" y="0"/>
                            <a:ext cx="1106805" cy="1473835"/>
                          </a:xfrm>
                          <a:prstGeom prst="rect">
                            <a:avLst/>
                          </a:prstGeom>
                          <a:noFill/>
                          <a:ln w="9525">
                            <a:noFill/>
                            <a:miter lim="800000"/>
                            <a:headEnd/>
                            <a:tailEnd/>
                          </a:ln>
                        </pic:spPr>
                      </pic:pic>
                    </a:graphicData>
                  </a:graphic>
                </wp:anchor>
              </w:drawing>
            </w:r>
            <w:r w:rsidR="001627BF">
              <w:rPr>
                <w:noProof/>
                <w:lang w:val="ru-RU" w:eastAsia="ru-RU"/>
              </w:rPr>
              <w:drawing>
                <wp:inline distT="0" distB="0" distL="0" distR="0">
                  <wp:extent cx="2000250" cy="1473835"/>
                  <wp:effectExtent l="19050" t="0" r="0" b="0"/>
                  <wp:docPr id="6" name="Рисунок 2" descr="E:\ИП\Documents\Pictures\Импульсные технологии\Тиратроны\ТГИ\ТГИ 5к50 5к75 и 10к50 кВ рету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ИП\Documents\Pictures\Импульсные технологии\Тиратроны\ТГИ\ТГИ 5к50 5к75 и 10к50 кВ ретуш.jpg"/>
                          <pic:cNvPicPr>
                            <a:picLocks noChangeAspect="1" noChangeArrowheads="1"/>
                          </pic:cNvPicPr>
                        </pic:nvPicPr>
                        <pic:blipFill>
                          <a:blip r:embed="rId8" cstate="print"/>
                          <a:srcRect/>
                          <a:stretch>
                            <a:fillRect/>
                          </a:stretch>
                        </pic:blipFill>
                        <pic:spPr bwMode="auto">
                          <a:xfrm>
                            <a:off x="0" y="0"/>
                            <a:ext cx="2000250" cy="1473835"/>
                          </a:xfrm>
                          <a:prstGeom prst="rect">
                            <a:avLst/>
                          </a:prstGeom>
                          <a:noFill/>
                          <a:ln w="9525">
                            <a:noFill/>
                            <a:miter lim="800000"/>
                            <a:headEnd/>
                            <a:tailEnd/>
                          </a:ln>
                        </pic:spPr>
                      </pic:pic>
                    </a:graphicData>
                  </a:graphic>
                </wp:inline>
              </w:drawing>
            </w:r>
          </w:p>
        </w:tc>
      </w:tr>
      <w:tr w:rsidR="001627BF" w:rsidTr="00632F45">
        <w:trPr>
          <w:trHeight w:val="970"/>
        </w:trPr>
        <w:tc>
          <w:tcPr>
            <w:tcW w:w="9576" w:type="dxa"/>
            <w:gridSpan w:val="2"/>
          </w:tcPr>
          <w:p w:rsidR="00FC6BFB" w:rsidRDefault="001627BF" w:rsidP="00670880">
            <w:pPr>
              <w:pStyle w:val="Paragraph"/>
              <w:ind w:firstLine="0"/>
              <w:jc w:val="center"/>
              <w:rPr>
                <w:sz w:val="18"/>
                <w:szCs w:val="18"/>
              </w:rPr>
            </w:pPr>
            <w:r w:rsidRPr="000C12A1">
              <w:rPr>
                <w:b/>
                <w:caps/>
                <w:sz w:val="18"/>
                <w:szCs w:val="18"/>
              </w:rPr>
              <w:t>Figure 1.</w:t>
            </w:r>
            <w:r w:rsidRPr="000C12A1">
              <w:rPr>
                <w:sz w:val="18"/>
                <w:szCs w:val="18"/>
              </w:rPr>
              <w:t xml:space="preserve"> </w:t>
            </w:r>
            <w:r w:rsidR="00FC6BFB">
              <w:rPr>
                <w:sz w:val="18"/>
                <w:szCs w:val="18"/>
              </w:rPr>
              <w:t>P</w:t>
            </w:r>
            <w:r w:rsidR="00FC6BFB" w:rsidRPr="00FC6BFB">
              <w:rPr>
                <w:sz w:val="18"/>
                <w:szCs w:val="18"/>
              </w:rPr>
              <w:t>roduction Devices of</w:t>
            </w:r>
            <w:r w:rsidR="00FC6BFB">
              <w:rPr>
                <w:sz w:val="18"/>
                <w:szCs w:val="18"/>
              </w:rPr>
              <w:t xml:space="preserve"> Pulsed Technologies Ltd.</w:t>
            </w:r>
          </w:p>
          <w:p w:rsidR="00FC6BFB" w:rsidRDefault="00FC6BFB" w:rsidP="00670880">
            <w:pPr>
              <w:pStyle w:val="Paragraph"/>
              <w:ind w:firstLine="0"/>
              <w:jc w:val="center"/>
              <w:rPr>
                <w:sz w:val="18"/>
                <w:szCs w:val="18"/>
              </w:rPr>
            </w:pPr>
            <w:r>
              <w:rPr>
                <w:sz w:val="18"/>
                <w:szCs w:val="18"/>
              </w:rPr>
              <w:t xml:space="preserve">1a) </w:t>
            </w:r>
            <w:r w:rsidR="001627BF" w:rsidRPr="000C12A1">
              <w:rPr>
                <w:sz w:val="18"/>
                <w:szCs w:val="18"/>
              </w:rPr>
              <w:t>Family of pseudospark switches TDI- and TPI-</w:t>
            </w:r>
            <w:r>
              <w:rPr>
                <w:sz w:val="18"/>
                <w:szCs w:val="18"/>
              </w:rPr>
              <w:t>types</w:t>
            </w:r>
            <w:r w:rsidR="001627BF" w:rsidRPr="000C12A1">
              <w:rPr>
                <w:sz w:val="18"/>
                <w:szCs w:val="18"/>
              </w:rPr>
              <w:t>.</w:t>
            </w:r>
          </w:p>
          <w:p w:rsidR="00FC6BFB" w:rsidRDefault="00FC6BFB" w:rsidP="00670880">
            <w:pPr>
              <w:pStyle w:val="Paragraph"/>
              <w:ind w:firstLine="0"/>
              <w:jc w:val="center"/>
              <w:rPr>
                <w:sz w:val="18"/>
                <w:szCs w:val="18"/>
              </w:rPr>
            </w:pPr>
            <w:r>
              <w:rPr>
                <w:sz w:val="18"/>
                <w:szCs w:val="18"/>
              </w:rPr>
              <w:t xml:space="preserve">1b) </w:t>
            </w:r>
            <w:r w:rsidR="001627BF" w:rsidRPr="001627BF">
              <w:rPr>
                <w:sz w:val="18"/>
                <w:szCs w:val="18"/>
              </w:rPr>
              <w:t>TGI-thyratrons operating at anode voltages 50 and 75 kV and average current 3 and 10 A.</w:t>
            </w:r>
          </w:p>
          <w:p w:rsidR="001627BF" w:rsidRDefault="00FC6BFB" w:rsidP="00670880">
            <w:pPr>
              <w:pStyle w:val="Paragraph"/>
              <w:ind w:firstLine="0"/>
              <w:jc w:val="center"/>
              <w:rPr>
                <w:bCs/>
                <w:spacing w:val="-1"/>
                <w:sz w:val="18"/>
                <w:szCs w:val="18"/>
              </w:rPr>
            </w:pPr>
            <w:r>
              <w:rPr>
                <w:sz w:val="18"/>
                <w:szCs w:val="18"/>
              </w:rPr>
              <w:t xml:space="preserve">1c) </w:t>
            </w:r>
            <w:r w:rsidR="001627BF" w:rsidRPr="001627BF">
              <w:rPr>
                <w:bCs/>
                <w:spacing w:val="-1"/>
                <w:sz w:val="18"/>
                <w:szCs w:val="18"/>
              </w:rPr>
              <w:t xml:space="preserve">The compact sealed-off hollow cathode gas-discharge tubes were used to get signals with pulse width of 100–800 ns, power up to 2000 kW, frequency up to 800 MHz with a repetition rate of 100 Hz. Maximal dimensions </w:t>
            </w:r>
            <w:r w:rsidR="001D1EEC">
              <w:rPr>
                <w:bCs/>
                <w:spacing w:val="-1"/>
                <w:sz w:val="18"/>
                <w:szCs w:val="18"/>
              </w:rPr>
              <w:sym w:font="Symbol" w:char="F0C6"/>
            </w:r>
            <w:r w:rsidR="001627BF" w:rsidRPr="001627BF">
              <w:rPr>
                <w:bCs/>
                <w:spacing w:val="-1"/>
                <w:sz w:val="18"/>
                <w:szCs w:val="18"/>
              </w:rPr>
              <w:t>37</w:t>
            </w:r>
            <w:r w:rsidR="001D1EEC">
              <w:rPr>
                <w:bCs/>
                <w:spacing w:val="-1"/>
                <w:sz w:val="18"/>
                <w:szCs w:val="18"/>
              </w:rPr>
              <w:sym w:font="Symbol" w:char="F0B4"/>
            </w:r>
            <w:r w:rsidR="001627BF" w:rsidRPr="001627BF">
              <w:rPr>
                <w:bCs/>
                <w:spacing w:val="-1"/>
                <w:sz w:val="18"/>
                <w:szCs w:val="18"/>
              </w:rPr>
              <w:t xml:space="preserve">25 </w:t>
            </w:r>
            <w:r w:rsidR="001D1EEC">
              <w:rPr>
                <w:bCs/>
                <w:spacing w:val="-1"/>
                <w:sz w:val="18"/>
                <w:szCs w:val="18"/>
              </w:rPr>
              <w:t>mm</w:t>
            </w:r>
            <w:r w:rsidR="001627BF" w:rsidRPr="001627BF">
              <w:rPr>
                <w:bCs/>
                <w:spacing w:val="-1"/>
                <w:sz w:val="18"/>
                <w:szCs w:val="18"/>
              </w:rPr>
              <w:t>, weight 250 gram [17]</w:t>
            </w:r>
            <w:r w:rsidR="001D1EEC">
              <w:rPr>
                <w:bCs/>
                <w:spacing w:val="-1"/>
                <w:sz w:val="18"/>
                <w:szCs w:val="18"/>
              </w:rPr>
              <w:t>.</w:t>
            </w:r>
          </w:p>
          <w:p w:rsidR="00FC6BFB" w:rsidRDefault="00FC6BFB" w:rsidP="00670880">
            <w:pPr>
              <w:pStyle w:val="Paragraph"/>
              <w:ind w:firstLine="0"/>
              <w:jc w:val="center"/>
            </w:pPr>
          </w:p>
        </w:tc>
      </w:tr>
    </w:tbl>
    <w:p w:rsidR="000C12A1" w:rsidRPr="000C12A1" w:rsidRDefault="000C12A1" w:rsidP="000C12A1">
      <w:pPr>
        <w:jc w:val="both"/>
        <w:rPr>
          <w:spacing w:val="-1"/>
          <w:sz w:val="20"/>
        </w:rPr>
      </w:pPr>
      <w:r w:rsidRPr="000C12A1">
        <w:rPr>
          <w:spacing w:val="-1"/>
          <w:sz w:val="20"/>
        </w:rPr>
        <w:t xml:space="preserve">The basics advantages of TDI-switches over  spark and vacuum gaps are longer life (2-3 orders of magnitude), substantially wider operating voltage range, high stability of electrical and timing characteristics in a wide range of temperatures, ability of parallel operation onto a common load in </w:t>
      </w:r>
      <w:proofErr w:type="spellStart"/>
      <w:r w:rsidRPr="000C12A1">
        <w:rPr>
          <w:spacing w:val="-1"/>
          <w:sz w:val="20"/>
        </w:rPr>
        <w:t>overdamped</w:t>
      </w:r>
      <w:proofErr w:type="spellEnd"/>
      <w:r w:rsidRPr="000C12A1">
        <w:rPr>
          <w:spacing w:val="-1"/>
          <w:sz w:val="20"/>
        </w:rPr>
        <w:t xml:space="preserve"> and </w:t>
      </w:r>
      <w:proofErr w:type="spellStart"/>
      <w:r w:rsidRPr="000C12A1">
        <w:rPr>
          <w:spacing w:val="-1"/>
          <w:sz w:val="20"/>
        </w:rPr>
        <w:t>underdamped</w:t>
      </w:r>
      <w:proofErr w:type="spellEnd"/>
      <w:r w:rsidRPr="000C12A1">
        <w:rPr>
          <w:spacing w:val="-1"/>
          <w:sz w:val="20"/>
        </w:rPr>
        <w:t xml:space="preserve"> modes. </w:t>
      </w:r>
    </w:p>
    <w:p w:rsidR="000C12A1" w:rsidRPr="000C12A1" w:rsidRDefault="000C12A1" w:rsidP="000C12A1">
      <w:pPr>
        <w:jc w:val="both"/>
        <w:rPr>
          <w:spacing w:val="-1"/>
          <w:sz w:val="20"/>
        </w:rPr>
      </w:pPr>
      <w:r w:rsidRPr="000C12A1">
        <w:rPr>
          <w:spacing w:val="-1"/>
          <w:sz w:val="20"/>
        </w:rPr>
        <w:t>For different operating modes are made thyratrons (pseudospark switches) in two basic types, labeled as TPI and TDI for operating voltages up to 150 kV, the pulse currents up to 200 kA</w:t>
      </w:r>
    </w:p>
    <w:p w:rsidR="000C12A1" w:rsidRPr="001627BF" w:rsidRDefault="000C12A1" w:rsidP="00A413DA">
      <w:pPr>
        <w:numPr>
          <w:ilvl w:val="0"/>
          <w:numId w:val="4"/>
        </w:numPr>
        <w:ind w:left="0" w:firstLine="289"/>
        <w:jc w:val="both"/>
        <w:rPr>
          <w:sz w:val="20"/>
        </w:rPr>
      </w:pPr>
      <w:r w:rsidRPr="001627BF">
        <w:rPr>
          <w:spacing w:val="-1"/>
          <w:sz w:val="20"/>
        </w:rPr>
        <w:t>In addition to thyratrons with unheated cathode the company fabricates thermionic cathode TGI-thyratrons (Fig.2) with peak output power up to 250 MW pulsed and average power up to 0.5 MW, comprising combined hollow and heater dispenser cathode with average currents up to 70A , as well as spark gaps with charge transfer per shot up to 200 Coulombs, rugged surge arresters LA for lightning protection of telecommunication installations with high stability and without used of any radioactive substances and “peaking” spark gaps for voltages up to 350 kV. Another production - c</w:t>
      </w:r>
      <w:r w:rsidRPr="001627BF">
        <w:rPr>
          <w:bCs/>
          <w:spacing w:val="-1"/>
          <w:sz w:val="20"/>
        </w:rPr>
        <w:t>ompact repetitive pulse generators of high-power high-frequency pulses (Fig.</w:t>
      </w:r>
      <w:r w:rsidR="008834B5">
        <w:rPr>
          <w:bCs/>
          <w:spacing w:val="-1"/>
          <w:sz w:val="20"/>
        </w:rPr>
        <w:t>1c</w:t>
      </w:r>
      <w:r w:rsidRPr="001627BF">
        <w:rPr>
          <w:bCs/>
          <w:spacing w:val="-1"/>
          <w:sz w:val="20"/>
        </w:rPr>
        <w:t>).</w:t>
      </w:r>
    </w:p>
    <w:p w:rsidR="001627BF" w:rsidRPr="00276266" w:rsidRDefault="001627BF" w:rsidP="00276266">
      <w:pPr>
        <w:pStyle w:val="2"/>
      </w:pPr>
      <w:r w:rsidRPr="00276266">
        <w:t>TPI-switches Applications (</w:t>
      </w:r>
      <w:r w:rsidR="00276266">
        <w:t>F</w:t>
      </w:r>
      <w:r w:rsidRPr="00276266">
        <w:t>ig.</w:t>
      </w:r>
      <w:r w:rsidR="00632F45" w:rsidRPr="00276266">
        <w:t>2</w:t>
      </w:r>
      <w:r w:rsidRPr="00276266">
        <w:t>-</w:t>
      </w:r>
      <w:r w:rsidR="00632F45" w:rsidRPr="00276266">
        <w:t>5</w:t>
      </w:r>
      <w:r w:rsidRPr="00276266">
        <w:t>)</w:t>
      </w:r>
    </w:p>
    <w:p w:rsidR="001627BF" w:rsidRPr="001627BF" w:rsidRDefault="001627BF" w:rsidP="00A413DA">
      <w:pPr>
        <w:numPr>
          <w:ilvl w:val="0"/>
          <w:numId w:val="6"/>
        </w:numPr>
        <w:ind w:left="227" w:hanging="284"/>
        <w:jc w:val="both"/>
        <w:rPr>
          <w:spacing w:val="-1"/>
          <w:sz w:val="20"/>
        </w:rPr>
      </w:pPr>
      <w:r w:rsidRPr="001627BF">
        <w:rPr>
          <w:spacing w:val="-1"/>
          <w:sz w:val="20"/>
        </w:rPr>
        <w:t>Laser systems power supplies;</w:t>
      </w:r>
    </w:p>
    <w:p w:rsidR="001627BF" w:rsidRPr="001627BF" w:rsidRDefault="001627BF" w:rsidP="00A413DA">
      <w:pPr>
        <w:numPr>
          <w:ilvl w:val="0"/>
          <w:numId w:val="6"/>
        </w:numPr>
        <w:ind w:left="227" w:hanging="284"/>
        <w:jc w:val="both"/>
        <w:rPr>
          <w:spacing w:val="-1"/>
          <w:sz w:val="20"/>
        </w:rPr>
      </w:pPr>
      <w:r w:rsidRPr="001627BF">
        <w:rPr>
          <w:spacing w:val="-1"/>
          <w:sz w:val="20"/>
        </w:rPr>
        <w:t>Charged particles accelerators</w:t>
      </w:r>
      <w:r w:rsidR="0074215C">
        <w:rPr>
          <w:spacing w:val="-1"/>
          <w:sz w:val="20"/>
        </w:rPr>
        <w:t>(Fig.</w:t>
      </w:r>
      <w:r w:rsidR="00A966CE">
        <w:rPr>
          <w:spacing w:val="-1"/>
          <w:sz w:val="20"/>
        </w:rPr>
        <w:t>2</w:t>
      </w:r>
      <w:r w:rsidR="0074215C">
        <w:rPr>
          <w:spacing w:val="-1"/>
          <w:sz w:val="20"/>
        </w:rPr>
        <w:t>)</w:t>
      </w:r>
      <w:r w:rsidRPr="001627BF">
        <w:rPr>
          <w:spacing w:val="-1"/>
          <w:sz w:val="20"/>
        </w:rPr>
        <w:t>, including  Free Electron Lasers (FEL), Radiographic systems, plasma sources and so long;</w:t>
      </w:r>
    </w:p>
    <w:p w:rsidR="001627BF" w:rsidRPr="001627BF" w:rsidRDefault="001627BF" w:rsidP="00A413DA">
      <w:pPr>
        <w:numPr>
          <w:ilvl w:val="0"/>
          <w:numId w:val="6"/>
        </w:numPr>
        <w:ind w:left="227" w:hanging="284"/>
        <w:jc w:val="both"/>
        <w:rPr>
          <w:spacing w:val="-1"/>
          <w:sz w:val="20"/>
        </w:rPr>
      </w:pPr>
      <w:r w:rsidRPr="001627BF">
        <w:rPr>
          <w:spacing w:val="-1"/>
          <w:sz w:val="20"/>
        </w:rPr>
        <w:t xml:space="preserve">Non-thermal effects of  high-energy electrical fields on biological objects for </w:t>
      </w:r>
      <w:proofErr w:type="spellStart"/>
      <w:r w:rsidRPr="001627BF">
        <w:rPr>
          <w:spacing w:val="-1"/>
          <w:sz w:val="20"/>
        </w:rPr>
        <w:t>debacterization</w:t>
      </w:r>
      <w:proofErr w:type="spellEnd"/>
      <w:r w:rsidRPr="001627BF">
        <w:rPr>
          <w:spacing w:val="-1"/>
          <w:sz w:val="20"/>
        </w:rPr>
        <w:t xml:space="preserve"> of drinking and waste water, food stuff pasteurization, tumor treatment. </w:t>
      </w:r>
    </w:p>
    <w:p w:rsidR="001627BF" w:rsidRPr="001627BF" w:rsidRDefault="001627BF" w:rsidP="00A413DA">
      <w:pPr>
        <w:numPr>
          <w:ilvl w:val="0"/>
          <w:numId w:val="6"/>
        </w:numPr>
        <w:ind w:left="227" w:hanging="284"/>
        <w:jc w:val="both"/>
        <w:rPr>
          <w:spacing w:val="-1"/>
          <w:sz w:val="20"/>
        </w:rPr>
      </w:pPr>
      <w:r w:rsidRPr="001627BF">
        <w:rPr>
          <w:spacing w:val="-1"/>
          <w:sz w:val="20"/>
        </w:rPr>
        <w:t xml:space="preserve">on-thermal effects of  high-energy electrical fields on geological objects with a purpose to increase precious and rare metals extraction efficiency. </w:t>
      </w:r>
    </w:p>
    <w:p w:rsidR="001627BF" w:rsidRPr="001627BF" w:rsidRDefault="001627BF" w:rsidP="00A413DA">
      <w:pPr>
        <w:numPr>
          <w:ilvl w:val="0"/>
          <w:numId w:val="6"/>
        </w:numPr>
        <w:ind w:left="227" w:hanging="284"/>
        <w:jc w:val="both"/>
        <w:rPr>
          <w:spacing w:val="-1"/>
          <w:sz w:val="20"/>
        </w:rPr>
      </w:pPr>
      <w:r w:rsidRPr="001627BF">
        <w:rPr>
          <w:spacing w:val="-1"/>
          <w:sz w:val="20"/>
        </w:rPr>
        <w:t xml:space="preserve">Oil and ore production – gamma-neutron logging, </w:t>
      </w:r>
      <w:proofErr w:type="spellStart"/>
      <w:r w:rsidRPr="001627BF">
        <w:rPr>
          <w:spacing w:val="-1"/>
          <w:sz w:val="20"/>
        </w:rPr>
        <w:t>georadars</w:t>
      </w:r>
      <w:proofErr w:type="spellEnd"/>
      <w:r w:rsidRPr="001627BF">
        <w:rPr>
          <w:spacing w:val="-1"/>
          <w:sz w:val="20"/>
        </w:rPr>
        <w:t>.</w:t>
      </w:r>
    </w:p>
    <w:p w:rsidR="001627BF" w:rsidRPr="001627BF" w:rsidRDefault="001627BF" w:rsidP="00A413DA">
      <w:pPr>
        <w:numPr>
          <w:ilvl w:val="0"/>
          <w:numId w:val="6"/>
        </w:numPr>
        <w:ind w:left="227" w:hanging="284"/>
        <w:jc w:val="both"/>
        <w:rPr>
          <w:spacing w:val="-1"/>
          <w:sz w:val="20"/>
        </w:rPr>
      </w:pPr>
      <w:r w:rsidRPr="001627BF">
        <w:rPr>
          <w:spacing w:val="-1"/>
          <w:sz w:val="20"/>
        </w:rPr>
        <w:t xml:space="preserve">Proton accelerators and Neutron-boron capture therapy  of  tumors, kidney stones treatment lithotripters. </w:t>
      </w:r>
    </w:p>
    <w:p w:rsidR="001627BF" w:rsidRPr="001627BF" w:rsidRDefault="001627BF" w:rsidP="00A413DA">
      <w:pPr>
        <w:numPr>
          <w:ilvl w:val="0"/>
          <w:numId w:val="6"/>
        </w:numPr>
        <w:ind w:left="227" w:hanging="284"/>
        <w:jc w:val="both"/>
        <w:rPr>
          <w:spacing w:val="-1"/>
          <w:sz w:val="20"/>
        </w:rPr>
      </w:pPr>
      <w:r w:rsidRPr="001627BF">
        <w:rPr>
          <w:spacing w:val="-1"/>
          <w:sz w:val="20"/>
        </w:rPr>
        <w:t xml:space="preserve">Nature-conservative apparatuses and plasma-chemistry - electro-filters for cleaning-up of gaseous waste in industry and energy, in pulse power supplies for ozone production and so on. </w:t>
      </w:r>
    </w:p>
    <w:p w:rsidR="001D01E9" w:rsidRDefault="001D01E9" w:rsidP="001627BF">
      <w:pPr>
        <w:jc w:val="both"/>
        <w:rPr>
          <w:b/>
          <w:spacing w:val="-1"/>
          <w:sz w:val="20"/>
        </w:rPr>
      </w:pPr>
    </w:p>
    <w:tbl>
      <w:tblPr>
        <w:tblStyle w:val="30"/>
        <w:tblW w:w="0" w:type="auto"/>
        <w:tblLayout w:type="fixed"/>
        <w:tblLook w:val="04A0"/>
      </w:tblPr>
      <w:tblGrid>
        <w:gridCol w:w="4928"/>
        <w:gridCol w:w="2589"/>
        <w:gridCol w:w="2059"/>
      </w:tblGrid>
      <w:tr w:rsidR="00724200" w:rsidTr="00724200">
        <w:trPr>
          <w:cnfStyle w:val="100000000000"/>
          <w:trHeight w:val="2447"/>
        </w:trPr>
        <w:tc>
          <w:tcPr>
            <w:cnfStyle w:val="001000000000"/>
            <w:tcW w:w="4928" w:type="dxa"/>
          </w:tcPr>
          <w:p w:rsidR="00724200" w:rsidRPr="00724200" w:rsidRDefault="00724200" w:rsidP="00C92F7F">
            <w:pPr>
              <w:jc w:val="both"/>
              <w:rPr>
                <w:bCs w:val="0"/>
                <w:spacing w:val="-1"/>
                <w:sz w:val="20"/>
              </w:rPr>
            </w:pPr>
            <w:r>
              <w:rPr>
                <w:noProof/>
                <w:lang w:val="ru-RU" w:eastAsia="ru-RU"/>
              </w:rPr>
              <w:drawing>
                <wp:inline distT="0" distB="0" distL="0" distR="0">
                  <wp:extent cx="3004185" cy="1514475"/>
                  <wp:effectExtent l="19050" t="0" r="5715" b="0"/>
                  <wp:docPr id="32" name="Рисунок 4" descr="IMG_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377"/>
                          <pic:cNvPicPr>
                            <a:picLocks noChangeAspect="1" noChangeArrowheads="1"/>
                          </pic:cNvPicPr>
                        </pic:nvPicPr>
                        <pic:blipFill>
                          <a:blip r:embed="rId9" cstate="print"/>
                          <a:srcRect t="19772" b="2275"/>
                          <a:stretch>
                            <a:fillRect/>
                          </a:stretch>
                        </pic:blipFill>
                        <pic:spPr bwMode="auto">
                          <a:xfrm>
                            <a:off x="0" y="0"/>
                            <a:ext cx="3004185" cy="1514475"/>
                          </a:xfrm>
                          <a:prstGeom prst="rect">
                            <a:avLst/>
                          </a:prstGeom>
                          <a:noFill/>
                          <a:ln w="9525">
                            <a:noFill/>
                            <a:miter lim="800000"/>
                            <a:headEnd/>
                            <a:tailEnd/>
                          </a:ln>
                        </pic:spPr>
                      </pic:pic>
                    </a:graphicData>
                  </a:graphic>
                </wp:inline>
              </w:drawing>
            </w:r>
          </w:p>
        </w:tc>
        <w:tc>
          <w:tcPr>
            <w:tcW w:w="2589" w:type="dxa"/>
            <w:tcBorders>
              <w:left w:val="nil"/>
              <w:right w:val="dashSmallGap" w:sz="2" w:space="0" w:color="auto"/>
            </w:tcBorders>
          </w:tcPr>
          <w:p w:rsidR="00724200" w:rsidRPr="00724200" w:rsidRDefault="00724200" w:rsidP="00724200">
            <w:pPr>
              <w:jc w:val="both"/>
              <w:cnfStyle w:val="100000000000"/>
              <w:rPr>
                <w:bCs w:val="0"/>
                <w:spacing w:val="-1"/>
                <w:sz w:val="20"/>
              </w:rPr>
            </w:pPr>
            <w:r>
              <w:rPr>
                <w:noProof/>
                <w:lang w:val="ru-RU" w:eastAsia="ru-RU"/>
              </w:rPr>
              <w:pict>
                <v:shape id="_x0000_s1058" type="#_x0000_t202" style="position:absolute;left:0;text-align:left;margin-left:-2.3pt;margin-top:97.1pt;width:26.25pt;height:21.75pt;z-index:251741184;mso-height-percent:200;mso-position-horizontal-relative:text;mso-position-vertical-relative:text;mso-height-percent:200;mso-width-relative:margin;mso-height-relative:margin">
                  <v:textbox style="mso-next-textbox:#_x0000_s1058;mso-fit-shape-to-text:t">
                    <w:txbxContent>
                      <w:p w:rsidR="00724200" w:rsidRDefault="00724200" w:rsidP="00A966CE">
                        <w:pPr>
                          <w:rPr>
                            <w:lang w:val="ru-RU"/>
                          </w:rPr>
                        </w:pPr>
                        <w:r>
                          <w:t>a)</w:t>
                        </w:r>
                      </w:p>
                    </w:txbxContent>
                  </v:textbox>
                </v:shape>
              </w:pict>
            </w:r>
            <w:r>
              <w:rPr>
                <w:bCs w:val="0"/>
                <w:noProof/>
                <w:spacing w:val="-1"/>
                <w:sz w:val="20"/>
                <w:lang w:val="ru-RU" w:eastAsia="ru-RU"/>
              </w:rPr>
              <w:drawing>
                <wp:anchor distT="0" distB="0" distL="114300" distR="114300" simplePos="0" relativeHeight="251739136" behindDoc="0" locked="0" layoutInCell="1" allowOverlap="1">
                  <wp:simplePos x="0" y="0"/>
                  <wp:positionH relativeFrom="column">
                    <wp:posOffset>78740</wp:posOffset>
                  </wp:positionH>
                  <wp:positionV relativeFrom="paragraph">
                    <wp:posOffset>33020</wp:posOffset>
                  </wp:positionV>
                  <wp:extent cx="1638935" cy="1275715"/>
                  <wp:effectExtent l="19050" t="0" r="0" b="0"/>
                  <wp:wrapSquare wrapText="bothSides"/>
                  <wp:docPr id="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 cstate="print"/>
                          <a:srcRect/>
                          <a:stretch>
                            <a:fillRect/>
                          </a:stretch>
                        </pic:blipFill>
                        <pic:spPr bwMode="auto">
                          <a:xfrm>
                            <a:off x="0" y="0"/>
                            <a:ext cx="1638935" cy="1275715"/>
                          </a:xfrm>
                          <a:prstGeom prst="rect">
                            <a:avLst/>
                          </a:prstGeom>
                          <a:noFill/>
                          <a:ln w="9525">
                            <a:noFill/>
                            <a:miter lim="800000"/>
                            <a:headEnd/>
                            <a:tailEnd/>
                          </a:ln>
                        </pic:spPr>
                      </pic:pic>
                    </a:graphicData>
                  </a:graphic>
                </wp:anchor>
              </w:drawing>
            </w:r>
          </w:p>
        </w:tc>
        <w:tc>
          <w:tcPr>
            <w:tcW w:w="2059" w:type="dxa"/>
            <w:tcBorders>
              <w:left w:val="dashSmallGap" w:sz="2" w:space="0" w:color="auto"/>
            </w:tcBorders>
          </w:tcPr>
          <w:p w:rsidR="00724200" w:rsidRDefault="00724200" w:rsidP="001627BF">
            <w:pPr>
              <w:jc w:val="both"/>
              <w:cnfStyle w:val="100000000000"/>
              <w:rPr>
                <w:b w:val="0"/>
                <w:spacing w:val="-1"/>
                <w:sz w:val="20"/>
              </w:rPr>
            </w:pPr>
            <w:r>
              <w:rPr>
                <w:b w:val="0"/>
                <w:noProof/>
                <w:spacing w:val="-1"/>
                <w:sz w:val="20"/>
                <w:lang w:val="ru-RU" w:eastAsia="ru-RU"/>
              </w:rPr>
              <w:pict>
                <v:shape id="_x0000_s1060" type="#_x0000_t202" style="position:absolute;left:0;text-align:left;margin-left:-236.65pt;margin-top:279.6pt;width:26.25pt;height:21.75pt;z-index:251745280;mso-height-percent:200;mso-position-horizontal-relative:text;mso-position-vertical-relative:text;mso-height-percent:200;mso-width-relative:margin;mso-height-relative:margin">
                  <v:textbox style="mso-next-textbox:#_x0000_s1060;mso-fit-shape-to-text:t">
                    <w:txbxContent>
                      <w:p w:rsidR="00724200" w:rsidRDefault="00724200" w:rsidP="00A966CE">
                        <w:pPr>
                          <w:rPr>
                            <w:lang w:val="ru-RU"/>
                          </w:rPr>
                        </w:pPr>
                        <w:r>
                          <w:t>b)</w:t>
                        </w:r>
                      </w:p>
                    </w:txbxContent>
                  </v:textbox>
                </v:shape>
              </w:pict>
            </w:r>
          </w:p>
          <w:p w:rsidR="00724200" w:rsidRDefault="00724200" w:rsidP="001627BF">
            <w:pPr>
              <w:jc w:val="both"/>
              <w:cnfStyle w:val="100000000000"/>
              <w:rPr>
                <w:bCs w:val="0"/>
                <w:spacing w:val="-1"/>
                <w:sz w:val="20"/>
              </w:rPr>
            </w:pPr>
            <w:r>
              <w:rPr>
                <w:noProof/>
                <w:lang w:val="ru-RU" w:eastAsia="ru-RU"/>
              </w:rPr>
              <w:pict>
                <v:shape id="_x0000_s1057" type="#_x0000_t202" style="position:absolute;left:0;text-align:left;margin-left:36.9pt;margin-top:73.15pt;width:26.25pt;height:21.75pt;z-index:251740160;mso-height-percent:200;mso-height-percent:200;mso-width-relative:margin;mso-height-relative:margin">
                  <v:textbox style="mso-next-textbox:#_x0000_s1057;mso-fit-shape-to-text:t">
                    <w:txbxContent>
                      <w:p w:rsidR="00724200" w:rsidRDefault="00724200" w:rsidP="00A966CE">
                        <w:pPr>
                          <w:rPr>
                            <w:lang w:val="ru-RU"/>
                          </w:rPr>
                        </w:pPr>
                        <w:r>
                          <w:t>b)</w:t>
                        </w:r>
                      </w:p>
                    </w:txbxContent>
                  </v:textbox>
                </v:shape>
              </w:pict>
            </w:r>
            <w:r>
              <w:rPr>
                <w:noProof/>
                <w:lang w:val="ru-RU" w:eastAsia="ru-RU"/>
              </w:rPr>
              <w:drawing>
                <wp:inline distT="0" distB="0" distL="0" distR="0">
                  <wp:extent cx="1191260" cy="995680"/>
                  <wp:effectExtent l="19050" t="0" r="8890" b="0"/>
                  <wp:docPr id="37" name="Рисунок 38" descr="http://af.attachmail.ru/cgi-bin/readmsg/DSCN2758.jpg?rid=632784652&amp;&amp;id=13045294840000000659;0;1&amp;mode=attachment&amp;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af.attachmail.ru/cgi-bin/readmsg/DSCN2758.jpg?rid=632784652&amp;&amp;id=13045294840000000659;0;1&amp;mode=attachment&amp;channel="/>
                          <pic:cNvPicPr>
                            <a:picLocks noChangeAspect="1" noChangeArrowheads="1"/>
                          </pic:cNvPicPr>
                        </pic:nvPicPr>
                        <pic:blipFill>
                          <a:blip r:embed="rId11" cstate="print"/>
                          <a:srcRect l="11227"/>
                          <a:stretch>
                            <a:fillRect/>
                          </a:stretch>
                        </pic:blipFill>
                        <pic:spPr bwMode="auto">
                          <a:xfrm>
                            <a:off x="0" y="0"/>
                            <a:ext cx="1191260" cy="995680"/>
                          </a:xfrm>
                          <a:prstGeom prst="rect">
                            <a:avLst/>
                          </a:prstGeom>
                          <a:noFill/>
                          <a:ln w="9525">
                            <a:noFill/>
                            <a:miter lim="800000"/>
                            <a:headEnd/>
                            <a:tailEnd/>
                          </a:ln>
                        </pic:spPr>
                      </pic:pic>
                    </a:graphicData>
                  </a:graphic>
                </wp:inline>
              </w:drawing>
            </w:r>
          </w:p>
        </w:tc>
      </w:tr>
    </w:tbl>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6"/>
        <w:gridCol w:w="4590"/>
      </w:tblGrid>
      <w:tr w:rsidR="001D01E9" w:rsidTr="001D01E9">
        <w:trPr>
          <w:trHeight w:val="291"/>
        </w:trPr>
        <w:tc>
          <w:tcPr>
            <w:tcW w:w="4986" w:type="dxa"/>
          </w:tcPr>
          <w:p w:rsidR="001D01E9" w:rsidRPr="001D01E9" w:rsidRDefault="001D01E9" w:rsidP="00724200">
            <w:pPr>
              <w:spacing w:before="120"/>
              <w:jc w:val="center"/>
              <w:rPr>
                <w:sz w:val="18"/>
                <w:szCs w:val="18"/>
              </w:rPr>
            </w:pPr>
            <w:r w:rsidRPr="001D01E9">
              <w:rPr>
                <w:b/>
                <w:spacing w:val="-1"/>
                <w:sz w:val="18"/>
                <w:szCs w:val="18"/>
              </w:rPr>
              <w:t xml:space="preserve">FIGURE </w:t>
            </w:r>
            <w:r w:rsidR="00A966CE">
              <w:rPr>
                <w:b/>
                <w:spacing w:val="-1"/>
                <w:sz w:val="18"/>
                <w:szCs w:val="18"/>
              </w:rPr>
              <w:t>2</w:t>
            </w:r>
            <w:r w:rsidRPr="001D01E9">
              <w:rPr>
                <w:b/>
                <w:spacing w:val="-1"/>
                <w:sz w:val="18"/>
                <w:szCs w:val="18"/>
              </w:rPr>
              <w:t>.</w:t>
            </w:r>
            <w:r w:rsidRPr="001D01E9">
              <w:rPr>
                <w:spacing w:val="-1"/>
                <w:sz w:val="18"/>
                <w:szCs w:val="18"/>
              </w:rPr>
              <w:t xml:space="preserve"> Pulse generators of linear accelerator LIU-2 is an assembly of 48 modulators withTPI2-10k/50 thyratrons</w:t>
            </w:r>
          </w:p>
        </w:tc>
        <w:tc>
          <w:tcPr>
            <w:tcW w:w="4590" w:type="dxa"/>
          </w:tcPr>
          <w:p w:rsidR="001D01E9" w:rsidRDefault="001D01E9" w:rsidP="00724200">
            <w:pPr>
              <w:pStyle w:val="Paragraph"/>
              <w:spacing w:before="120"/>
              <w:ind w:firstLine="0"/>
              <w:jc w:val="center"/>
              <w:rPr>
                <w:spacing w:val="-1"/>
                <w:sz w:val="18"/>
                <w:szCs w:val="18"/>
              </w:rPr>
            </w:pPr>
            <w:r w:rsidRPr="0074215C">
              <w:rPr>
                <w:b/>
                <w:caps/>
                <w:sz w:val="18"/>
                <w:szCs w:val="18"/>
              </w:rPr>
              <w:t xml:space="preserve">Figure </w:t>
            </w:r>
            <w:r w:rsidR="00A966CE">
              <w:rPr>
                <w:b/>
                <w:caps/>
                <w:sz w:val="18"/>
                <w:szCs w:val="18"/>
              </w:rPr>
              <w:t>3</w:t>
            </w:r>
            <w:r w:rsidRPr="0074215C">
              <w:rPr>
                <w:b/>
                <w:caps/>
                <w:sz w:val="18"/>
                <w:szCs w:val="18"/>
              </w:rPr>
              <w:t>.</w:t>
            </w:r>
            <w:r w:rsidRPr="0074215C">
              <w:rPr>
                <w:spacing w:val="-1"/>
                <w:sz w:val="18"/>
                <w:szCs w:val="18"/>
              </w:rPr>
              <w:t xml:space="preserve"> Air cleaning</w:t>
            </w:r>
            <w:r w:rsidR="0074215C" w:rsidRPr="0074215C">
              <w:rPr>
                <w:sz w:val="18"/>
                <w:szCs w:val="18"/>
              </w:rPr>
              <w:t xml:space="preserve"> in corona streamer discharge</w:t>
            </w:r>
            <w:r w:rsidRPr="0074215C">
              <w:rPr>
                <w:spacing w:val="-1"/>
                <w:sz w:val="18"/>
                <w:szCs w:val="18"/>
              </w:rPr>
              <w:t>.</w:t>
            </w:r>
          </w:p>
          <w:p w:rsidR="00A966CE" w:rsidRPr="00A966CE" w:rsidRDefault="00A966CE" w:rsidP="00724200">
            <w:pPr>
              <w:pStyle w:val="Paragraph"/>
              <w:ind w:firstLine="0"/>
              <w:jc w:val="center"/>
              <w:rPr>
                <w:sz w:val="18"/>
                <w:szCs w:val="18"/>
              </w:rPr>
            </w:pPr>
            <w:r>
              <w:rPr>
                <w:spacing w:val="-1"/>
                <w:sz w:val="18"/>
                <w:szCs w:val="18"/>
              </w:rPr>
              <w:t>a)</w:t>
            </w:r>
            <w:r>
              <w:t xml:space="preserve"> </w:t>
            </w:r>
            <w:r>
              <w:rPr>
                <w:spacing w:val="-1"/>
                <w:sz w:val="18"/>
                <w:szCs w:val="18"/>
              </w:rPr>
              <w:t>F</w:t>
            </w:r>
            <w:r w:rsidRPr="00A966CE">
              <w:rPr>
                <w:spacing w:val="-1"/>
                <w:sz w:val="18"/>
                <w:szCs w:val="18"/>
              </w:rPr>
              <w:t>acility</w:t>
            </w:r>
            <w:r>
              <w:rPr>
                <w:spacing w:val="-1"/>
                <w:sz w:val="18"/>
                <w:szCs w:val="18"/>
              </w:rPr>
              <w:t xml:space="preserve">; </w:t>
            </w:r>
            <w:r w:rsidRPr="00A966CE">
              <w:rPr>
                <w:spacing w:val="-1"/>
                <w:sz w:val="18"/>
                <w:szCs w:val="18"/>
              </w:rPr>
              <w:t xml:space="preserve"> </w:t>
            </w:r>
            <w:r>
              <w:rPr>
                <w:spacing w:val="-1"/>
                <w:sz w:val="18"/>
                <w:szCs w:val="18"/>
              </w:rPr>
              <w:t>b</w:t>
            </w:r>
            <w:r w:rsidRPr="00A966CE">
              <w:rPr>
                <w:spacing w:val="-1"/>
                <w:sz w:val="18"/>
                <w:szCs w:val="18"/>
              </w:rPr>
              <w:t xml:space="preserve">) </w:t>
            </w:r>
            <w:r>
              <w:rPr>
                <w:spacing w:val="-1"/>
                <w:sz w:val="18"/>
                <w:szCs w:val="18"/>
              </w:rPr>
              <w:t xml:space="preserve"> </w:t>
            </w:r>
            <w:r w:rsidRPr="00A966CE">
              <w:rPr>
                <w:spacing w:val="-1"/>
                <w:sz w:val="18"/>
                <w:szCs w:val="18"/>
              </w:rPr>
              <w:t>The corona glow in the reactor</w:t>
            </w:r>
          </w:p>
        </w:tc>
      </w:tr>
    </w:tbl>
    <w:p w:rsidR="001627BF" w:rsidRDefault="001627BF" w:rsidP="001627BF">
      <w:pPr>
        <w:jc w:val="both"/>
        <w:rPr>
          <w:sz w:val="20"/>
        </w:rPr>
      </w:pPr>
    </w:p>
    <w:p w:rsidR="001627BF" w:rsidRPr="001627BF" w:rsidRDefault="001627BF" w:rsidP="00A413DA">
      <w:pPr>
        <w:numPr>
          <w:ilvl w:val="0"/>
          <w:numId w:val="6"/>
        </w:numPr>
        <w:ind w:left="227" w:hanging="284"/>
        <w:jc w:val="both"/>
        <w:rPr>
          <w:sz w:val="20"/>
        </w:rPr>
      </w:pPr>
      <w:r w:rsidRPr="001627BF">
        <w:rPr>
          <w:spacing w:val="-1"/>
          <w:sz w:val="20"/>
        </w:rPr>
        <w:t>Air cleaning</w:t>
      </w:r>
      <w:r w:rsidR="0074215C">
        <w:rPr>
          <w:spacing w:val="-1"/>
          <w:sz w:val="20"/>
        </w:rPr>
        <w:t xml:space="preserve"> (Fig.</w:t>
      </w:r>
      <w:r w:rsidR="00A966CE">
        <w:rPr>
          <w:spacing w:val="-1"/>
          <w:sz w:val="20"/>
        </w:rPr>
        <w:t>3</w:t>
      </w:r>
      <w:r w:rsidR="0074215C">
        <w:rPr>
          <w:spacing w:val="-1"/>
          <w:sz w:val="20"/>
        </w:rPr>
        <w:t>)</w:t>
      </w:r>
      <w:r w:rsidRPr="001627BF">
        <w:rPr>
          <w:spacing w:val="-1"/>
          <w:sz w:val="20"/>
        </w:rPr>
        <w:t xml:space="preserve">. In the Europe largest waste water cleaning structures </w:t>
      </w:r>
      <w:proofErr w:type="spellStart"/>
      <w:r w:rsidRPr="001627BF">
        <w:rPr>
          <w:spacing w:val="-1"/>
          <w:sz w:val="20"/>
        </w:rPr>
        <w:t>Kuryanobskiye</w:t>
      </w:r>
      <w:proofErr w:type="spellEnd"/>
      <w:r w:rsidRPr="001627BF">
        <w:rPr>
          <w:spacing w:val="-1"/>
          <w:sz w:val="20"/>
        </w:rPr>
        <w:t xml:space="preserve"> and </w:t>
      </w:r>
      <w:proofErr w:type="spellStart"/>
      <w:r w:rsidRPr="001627BF">
        <w:rPr>
          <w:spacing w:val="-1"/>
          <w:sz w:val="20"/>
        </w:rPr>
        <w:t>Luberetskiye</w:t>
      </w:r>
      <w:proofErr w:type="spellEnd"/>
      <w:r w:rsidRPr="001627BF">
        <w:rPr>
          <w:spacing w:val="-1"/>
          <w:sz w:val="20"/>
        </w:rPr>
        <w:t xml:space="preserve"> in Moscow</w:t>
      </w:r>
      <w:r w:rsidRPr="001627BF">
        <w:rPr>
          <w:sz w:val="20"/>
        </w:rPr>
        <w:t xml:space="preserve"> for air cleaning from hydrogen sulfide, ammonia and other toxic gases by means of electrostatic precipitator in corona streamer discharge. More than </w:t>
      </w:r>
      <w:r w:rsidR="00A966CE">
        <w:rPr>
          <w:sz w:val="20"/>
        </w:rPr>
        <w:t>4</w:t>
      </w:r>
      <w:r w:rsidRPr="001627BF">
        <w:rPr>
          <w:sz w:val="20"/>
        </w:rPr>
        <w:t>0 electrostatic precipitator systems “</w:t>
      </w:r>
      <w:r w:rsidRPr="001627BF">
        <w:rPr>
          <w:b/>
          <w:bCs/>
          <w:sz w:val="20"/>
        </w:rPr>
        <w:t>Corona</w:t>
      </w:r>
      <w:r w:rsidRPr="001627BF">
        <w:rPr>
          <w:sz w:val="20"/>
        </w:rPr>
        <w:t xml:space="preserve">” with output up to 15 000 cubic </w:t>
      </w:r>
      <w:proofErr w:type="spellStart"/>
      <w:r w:rsidRPr="001627BF">
        <w:rPr>
          <w:sz w:val="20"/>
        </w:rPr>
        <w:t>meteres</w:t>
      </w:r>
      <w:proofErr w:type="spellEnd"/>
      <w:r w:rsidRPr="001627BF">
        <w:rPr>
          <w:sz w:val="20"/>
        </w:rPr>
        <w:t xml:space="preserve"> per hour use our thyratrons TGI2-5k/50H. </w:t>
      </w:r>
    </w:p>
    <w:p w:rsidR="001627BF" w:rsidRPr="001627BF" w:rsidRDefault="001627BF" w:rsidP="00A413DA">
      <w:pPr>
        <w:numPr>
          <w:ilvl w:val="0"/>
          <w:numId w:val="6"/>
        </w:numPr>
        <w:ind w:left="227" w:hanging="284"/>
        <w:jc w:val="both"/>
        <w:rPr>
          <w:spacing w:val="-1"/>
          <w:sz w:val="20"/>
        </w:rPr>
      </w:pPr>
      <w:r w:rsidRPr="001627BF">
        <w:rPr>
          <w:spacing w:val="-1"/>
          <w:sz w:val="20"/>
        </w:rPr>
        <w:t xml:space="preserve">Mobile gas cleaning system with TPI1-10k/50 thyratrons based on streamer corona in experimental works “Mars-500” conducted by FGUP Salute supported by </w:t>
      </w:r>
      <w:proofErr w:type="spellStart"/>
      <w:r w:rsidRPr="001627BF">
        <w:rPr>
          <w:spacing w:val="-1"/>
          <w:sz w:val="20"/>
        </w:rPr>
        <w:t>Roscosmos</w:t>
      </w:r>
      <w:proofErr w:type="spellEnd"/>
      <w:r w:rsidRPr="001627BF">
        <w:rPr>
          <w:spacing w:val="-1"/>
          <w:sz w:val="20"/>
        </w:rPr>
        <w:t xml:space="preserve"> and Russian Academy of Science in 2011</w:t>
      </w:r>
      <w:r w:rsidR="0074215C" w:rsidRPr="001627BF">
        <w:rPr>
          <w:spacing w:val="-1"/>
          <w:sz w:val="20"/>
        </w:rPr>
        <w:t>.</w:t>
      </w:r>
    </w:p>
    <w:p w:rsidR="00040369" w:rsidRDefault="00040369" w:rsidP="001627BF">
      <w:pPr>
        <w:ind w:left="227"/>
        <w:jc w:val="both"/>
        <w:rPr>
          <w:bCs/>
          <w:sz w:val="20"/>
        </w:rPr>
      </w:pPr>
    </w:p>
    <w:p w:rsidR="001627BF" w:rsidRPr="001627BF" w:rsidRDefault="001627BF" w:rsidP="001627BF">
      <w:pPr>
        <w:ind w:left="227"/>
        <w:jc w:val="both"/>
        <w:rPr>
          <w:bCs/>
          <w:sz w:val="20"/>
        </w:rPr>
      </w:pPr>
      <w:r w:rsidRPr="001627BF">
        <w:rPr>
          <w:bCs/>
          <w:sz w:val="20"/>
        </w:rPr>
        <w:t xml:space="preserve">In the recent years development of high voltage pulse generators (pulse currents and pulse voltages) has been gaining momentum for applications in pulse power. </w:t>
      </w:r>
    </w:p>
    <w:p w:rsidR="0074215C" w:rsidRDefault="0074215C" w:rsidP="001627BF">
      <w:pPr>
        <w:ind w:left="-133"/>
        <w:jc w:val="both"/>
        <w:rPr>
          <w:bCs/>
          <w:sz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1417"/>
        <w:gridCol w:w="5357"/>
      </w:tblGrid>
      <w:tr w:rsidR="00724200" w:rsidTr="00724200">
        <w:trPr>
          <w:trHeight w:val="2497"/>
        </w:trPr>
        <w:tc>
          <w:tcPr>
            <w:tcW w:w="2802" w:type="dxa"/>
          </w:tcPr>
          <w:p w:rsidR="00724200" w:rsidRDefault="00724200" w:rsidP="00724200">
            <w:pPr>
              <w:pStyle w:val="Paragraph"/>
              <w:ind w:firstLine="0"/>
              <w:jc w:val="left"/>
            </w:pPr>
            <w:r>
              <w:rPr>
                <w:noProof/>
                <w:lang w:val="ru-RU" w:eastAsia="ru-RU"/>
              </w:rPr>
              <w:pict>
                <v:shape id="_x0000_s1059" type="#_x0000_t202" style="position:absolute;margin-left:94.65pt;margin-top:62.8pt;width:26.25pt;height:21.75pt;z-index:251744256;mso-height-percent:200;mso-height-percent:200;mso-width-relative:margin;mso-height-relative:margin">
                  <v:textbox style="mso-next-textbox:#_x0000_s1059;mso-fit-shape-to-text:t">
                    <w:txbxContent>
                      <w:p w:rsidR="00724200" w:rsidRDefault="00724200" w:rsidP="00A966CE">
                        <w:pPr>
                          <w:rPr>
                            <w:lang w:val="ru-RU"/>
                          </w:rPr>
                        </w:pPr>
                        <w:r>
                          <w:t>a)</w:t>
                        </w:r>
                      </w:p>
                    </w:txbxContent>
                  </v:textbox>
                </v:shape>
              </w:pict>
            </w:r>
            <w:r>
              <w:rPr>
                <w:noProof/>
                <w:lang w:val="ru-RU" w:eastAsia="ru-RU"/>
              </w:rPr>
              <w:drawing>
                <wp:inline distT="0" distB="0" distL="0" distR="0">
                  <wp:extent cx="1679575" cy="1084580"/>
                  <wp:effectExtent l="19050" t="0" r="0" b="0"/>
                  <wp:docPr id="40"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
                          <pic:cNvPicPr>
                            <a:picLocks noChangeAspect="1" noChangeArrowheads="1"/>
                          </pic:cNvPicPr>
                        </pic:nvPicPr>
                        <pic:blipFill>
                          <a:blip r:embed="rId12" cstate="print"/>
                          <a:srcRect t="17154" r="6099" b="1715"/>
                          <a:stretch>
                            <a:fillRect/>
                          </a:stretch>
                        </pic:blipFill>
                        <pic:spPr bwMode="auto">
                          <a:xfrm>
                            <a:off x="0" y="0"/>
                            <a:ext cx="1679575" cy="1084580"/>
                          </a:xfrm>
                          <a:prstGeom prst="rect">
                            <a:avLst/>
                          </a:prstGeom>
                          <a:noFill/>
                          <a:ln w="9525">
                            <a:noFill/>
                            <a:miter lim="800000"/>
                            <a:headEnd/>
                            <a:tailEnd/>
                          </a:ln>
                        </pic:spPr>
                      </pic:pic>
                    </a:graphicData>
                  </a:graphic>
                </wp:inline>
              </w:drawing>
            </w:r>
          </w:p>
        </w:tc>
        <w:tc>
          <w:tcPr>
            <w:tcW w:w="1417" w:type="dxa"/>
          </w:tcPr>
          <w:p w:rsidR="00724200" w:rsidRDefault="00724200" w:rsidP="00724200">
            <w:pPr>
              <w:pStyle w:val="Paragraph"/>
              <w:ind w:firstLine="0"/>
              <w:jc w:val="center"/>
            </w:pPr>
            <w:r>
              <w:rPr>
                <w:noProof/>
                <w:lang w:val="ru-RU" w:eastAsia="ru-RU"/>
              </w:rPr>
              <w:drawing>
                <wp:inline distT="0" distB="0" distL="0" distR="0">
                  <wp:extent cx="847090" cy="1562100"/>
                  <wp:effectExtent l="19050" t="0" r="0" b="0"/>
                  <wp:docPr id="44" name="Рисунок 20" descr="C:\Users\ИП\Pictures\Импульсные технологии\Генераторы\Генератор для КИ\2-й Генератор в 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ИП\Pictures\Импульсные технологии\Генераторы\Генератор для КИ\2-й Генератор в КИ 2.jpg"/>
                          <pic:cNvPicPr>
                            <a:picLocks noChangeAspect="1" noChangeArrowheads="1"/>
                          </pic:cNvPicPr>
                        </pic:nvPicPr>
                        <pic:blipFill>
                          <a:blip r:embed="rId13" cstate="print"/>
                          <a:srcRect l="7083" t="5112" r="29344"/>
                          <a:stretch>
                            <a:fillRect/>
                          </a:stretch>
                        </pic:blipFill>
                        <pic:spPr bwMode="auto">
                          <a:xfrm>
                            <a:off x="0" y="0"/>
                            <a:ext cx="847090" cy="1562100"/>
                          </a:xfrm>
                          <a:prstGeom prst="rect">
                            <a:avLst/>
                          </a:prstGeom>
                          <a:noFill/>
                          <a:ln w="9525">
                            <a:noFill/>
                            <a:miter lim="800000"/>
                            <a:headEnd/>
                            <a:tailEnd/>
                          </a:ln>
                        </pic:spPr>
                      </pic:pic>
                    </a:graphicData>
                  </a:graphic>
                </wp:inline>
              </w:drawing>
            </w:r>
          </w:p>
        </w:tc>
        <w:tc>
          <w:tcPr>
            <w:tcW w:w="5357" w:type="dxa"/>
          </w:tcPr>
          <w:p w:rsidR="00724200" w:rsidRDefault="00276266" w:rsidP="005250FA">
            <w:pPr>
              <w:pStyle w:val="Paragraph"/>
              <w:ind w:firstLine="0"/>
              <w:jc w:val="center"/>
            </w:pPr>
            <w:r>
              <w:rPr>
                <w:b/>
                <w:noProof/>
                <w:spacing w:val="-1"/>
                <w:lang w:val="ru-RU" w:eastAsia="ru-RU"/>
              </w:rPr>
              <w:pict>
                <v:shape id="_x0000_s1061" type="#_x0000_t202" style="position:absolute;left:0;text-align:left;margin-left:228.5pt;margin-top:104.7pt;width:26.25pt;height:21.75pt;z-index:251746304;mso-height-percent:200;mso-position-horizontal-relative:text;mso-position-vertical-relative:text;mso-height-percent:200;mso-width-relative:margin;mso-height-relative:margin">
                  <v:textbox style="mso-next-textbox:#_x0000_s1061;mso-fit-shape-to-text:t">
                    <w:txbxContent>
                      <w:p w:rsidR="00276266" w:rsidRDefault="00276266" w:rsidP="00A966CE">
                        <w:pPr>
                          <w:rPr>
                            <w:lang w:val="ru-RU"/>
                          </w:rPr>
                        </w:pPr>
                        <w:r>
                          <w:t>b)</w:t>
                        </w:r>
                      </w:p>
                    </w:txbxContent>
                  </v:textbox>
                </v:shape>
              </w:pict>
            </w:r>
            <w:r>
              <w:rPr>
                <w:noProof/>
                <w:lang w:val="ru-RU" w:eastAsia="ru-RU"/>
              </w:rPr>
              <w:pict>
                <v:shape id="_x0000_s1062" type="#_x0000_t202" style="position:absolute;left:0;text-align:left;margin-left:40.45pt;margin-top:.2pt;width:26.25pt;height:21.75pt;z-index:251747328;mso-height-percent:200;mso-position-horizontal-relative:text;mso-position-vertical-relative:text;mso-height-percent:200;mso-width-relative:margin;mso-height-relative:margin">
                  <v:textbox style="mso-next-textbox:#_x0000_s1062;mso-fit-shape-to-text:t">
                    <w:txbxContent>
                      <w:p w:rsidR="00276266" w:rsidRDefault="00276266" w:rsidP="00276266">
                        <w:pPr>
                          <w:rPr>
                            <w:lang w:val="ru-RU"/>
                          </w:rPr>
                        </w:pPr>
                        <w:r>
                          <w:t>a)</w:t>
                        </w:r>
                      </w:p>
                    </w:txbxContent>
                  </v:textbox>
                </v:shape>
              </w:pict>
            </w:r>
            <w:r w:rsidR="00724200">
              <w:rPr>
                <w:noProof/>
                <w:lang w:val="ru-RU" w:eastAsia="ru-RU"/>
              </w:rPr>
              <w:drawing>
                <wp:anchor distT="0" distB="0" distL="114300" distR="114300" simplePos="0" relativeHeight="251668479" behindDoc="0" locked="0" layoutInCell="1" allowOverlap="1">
                  <wp:simplePos x="0" y="0"/>
                  <wp:positionH relativeFrom="column">
                    <wp:posOffset>978535</wp:posOffset>
                  </wp:positionH>
                  <wp:positionV relativeFrom="paragraph">
                    <wp:posOffset>43180</wp:posOffset>
                  </wp:positionV>
                  <wp:extent cx="2382520" cy="1337310"/>
                  <wp:effectExtent l="19050" t="0" r="0" b="0"/>
                  <wp:wrapSquare wrapText="bothSides"/>
                  <wp:docPr id="42" name="Рисунок 12" descr="http://www.pstproducts.com/home_htm_files/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pstproducts.com/home_htm_files/6248.jpg"/>
                          <pic:cNvPicPr>
                            <a:picLocks noChangeAspect="1" noChangeArrowheads="1"/>
                          </pic:cNvPicPr>
                        </pic:nvPicPr>
                        <pic:blipFill>
                          <a:blip r:embed="rId14" cstate="print"/>
                          <a:srcRect l="8315" t="13802" r="6047" b="8493"/>
                          <a:stretch>
                            <a:fillRect/>
                          </a:stretch>
                        </pic:blipFill>
                        <pic:spPr bwMode="auto">
                          <a:xfrm>
                            <a:off x="0" y="0"/>
                            <a:ext cx="2382520" cy="1337310"/>
                          </a:xfrm>
                          <a:prstGeom prst="rect">
                            <a:avLst/>
                          </a:prstGeom>
                          <a:noFill/>
                          <a:ln w="9525">
                            <a:noFill/>
                            <a:miter lim="800000"/>
                            <a:headEnd/>
                            <a:tailEnd/>
                          </a:ln>
                        </pic:spPr>
                      </pic:pic>
                    </a:graphicData>
                  </a:graphic>
                </wp:anchor>
              </w:drawing>
            </w:r>
            <w:r w:rsidR="00724200" w:rsidRPr="00B33425">
              <w:drawing>
                <wp:inline distT="0" distB="0" distL="0" distR="0">
                  <wp:extent cx="956765" cy="1651380"/>
                  <wp:effectExtent l="19050" t="0" r="0" b="0"/>
                  <wp:docPr id="43" name="Рисунок 11" descr="E:\ИП\Documents\Импульсные технологии\Letters\РОССИЯ\Н.-Новгород\ЗАО НПП Гиком\yts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ИП\Documents\Импульсные технологии\Letters\РОССИЯ\Н.-Новгород\ЗАО НПП Гиком\yts4l.jpg"/>
                          <pic:cNvPicPr>
                            <a:picLocks noChangeAspect="1" noChangeArrowheads="1"/>
                          </pic:cNvPicPr>
                        </pic:nvPicPr>
                        <pic:blipFill>
                          <a:blip r:embed="rId15" cstate="print"/>
                          <a:srcRect l="6769" r="4514"/>
                          <a:stretch>
                            <a:fillRect/>
                          </a:stretch>
                        </pic:blipFill>
                        <pic:spPr bwMode="auto">
                          <a:xfrm>
                            <a:off x="0" y="0"/>
                            <a:ext cx="956310" cy="1651000"/>
                          </a:xfrm>
                          <a:prstGeom prst="rect">
                            <a:avLst/>
                          </a:prstGeom>
                          <a:noFill/>
                          <a:ln w="9525">
                            <a:noFill/>
                            <a:miter lim="800000"/>
                            <a:headEnd/>
                            <a:tailEnd/>
                          </a:ln>
                        </pic:spPr>
                      </pic:pic>
                    </a:graphicData>
                  </a:graphic>
                </wp:inline>
              </w:drawing>
            </w:r>
          </w:p>
        </w:tc>
      </w:tr>
      <w:tr w:rsidR="0074215C" w:rsidRPr="009E574C" w:rsidTr="00276266">
        <w:trPr>
          <w:trHeight w:val="1387"/>
        </w:trPr>
        <w:tc>
          <w:tcPr>
            <w:tcW w:w="4219" w:type="dxa"/>
            <w:gridSpan w:val="2"/>
          </w:tcPr>
          <w:p w:rsidR="00B33425" w:rsidRPr="00B33425" w:rsidRDefault="0074215C" w:rsidP="00724200">
            <w:pPr>
              <w:spacing w:before="120"/>
              <w:ind w:left="-133"/>
              <w:jc w:val="center"/>
              <w:rPr>
                <w:spacing w:val="-1"/>
                <w:sz w:val="18"/>
                <w:szCs w:val="18"/>
              </w:rPr>
            </w:pPr>
            <w:r w:rsidRPr="009E574C">
              <w:rPr>
                <w:b/>
                <w:spacing w:val="-1"/>
                <w:sz w:val="18"/>
                <w:szCs w:val="18"/>
              </w:rPr>
              <w:t xml:space="preserve">FIGURE </w:t>
            </w:r>
            <w:r w:rsidR="00A966CE">
              <w:rPr>
                <w:b/>
                <w:spacing w:val="-1"/>
                <w:sz w:val="18"/>
                <w:szCs w:val="18"/>
              </w:rPr>
              <w:t>4</w:t>
            </w:r>
            <w:r w:rsidRPr="009E574C">
              <w:rPr>
                <w:b/>
                <w:spacing w:val="-1"/>
                <w:sz w:val="18"/>
                <w:szCs w:val="18"/>
              </w:rPr>
              <w:t>.</w:t>
            </w:r>
            <w:r w:rsidRPr="009E574C">
              <w:rPr>
                <w:spacing w:val="-1"/>
                <w:sz w:val="18"/>
                <w:szCs w:val="18"/>
              </w:rPr>
              <w:t xml:space="preserve"> </w:t>
            </w:r>
            <w:r w:rsidR="00B33425" w:rsidRPr="00B33425">
              <w:rPr>
                <w:spacing w:val="-1"/>
                <w:sz w:val="18"/>
                <w:szCs w:val="18"/>
              </w:rPr>
              <w:t>Devices with TPI-thyratrons.</w:t>
            </w:r>
          </w:p>
          <w:p w:rsidR="00A37C29" w:rsidRPr="009E574C" w:rsidRDefault="00B33425" w:rsidP="00724200">
            <w:pPr>
              <w:ind w:left="-130"/>
              <w:jc w:val="center"/>
              <w:rPr>
                <w:bCs/>
                <w:sz w:val="18"/>
                <w:szCs w:val="18"/>
              </w:rPr>
            </w:pPr>
            <w:r>
              <w:rPr>
                <w:spacing w:val="-1"/>
                <w:sz w:val="18"/>
                <w:szCs w:val="18"/>
              </w:rPr>
              <w:t xml:space="preserve">a) </w:t>
            </w:r>
            <w:r w:rsidR="00A37C29" w:rsidRPr="009E574C">
              <w:rPr>
                <w:bCs/>
                <w:sz w:val="18"/>
                <w:szCs w:val="18"/>
              </w:rPr>
              <w:t xml:space="preserve">Nanosecond pulse generator for Synchrotron radiation source in Scientific Center </w:t>
            </w:r>
            <w:proofErr w:type="spellStart"/>
            <w:r w:rsidR="00A37C29" w:rsidRPr="009E574C">
              <w:rPr>
                <w:bCs/>
                <w:sz w:val="18"/>
                <w:szCs w:val="18"/>
              </w:rPr>
              <w:t>Kurchatov</w:t>
            </w:r>
            <w:proofErr w:type="spellEnd"/>
            <w:r w:rsidR="00A37C29" w:rsidRPr="009E574C">
              <w:rPr>
                <w:bCs/>
                <w:sz w:val="18"/>
                <w:szCs w:val="18"/>
              </w:rPr>
              <w:t xml:space="preserve"> Institute.</w:t>
            </w:r>
          </w:p>
          <w:p w:rsidR="009E574C" w:rsidRPr="009E574C" w:rsidRDefault="00B33425" w:rsidP="00276266">
            <w:pPr>
              <w:ind w:left="-130"/>
              <w:jc w:val="center"/>
              <w:rPr>
                <w:bCs/>
                <w:sz w:val="18"/>
                <w:szCs w:val="18"/>
              </w:rPr>
            </w:pPr>
            <w:r w:rsidRPr="00B33425">
              <w:rPr>
                <w:spacing w:val="-1"/>
                <w:sz w:val="18"/>
                <w:szCs w:val="18"/>
              </w:rPr>
              <w:t>b)</w:t>
            </w:r>
            <w:r w:rsidR="00A37C29" w:rsidRPr="009E574C">
              <w:rPr>
                <w:noProof/>
                <w:sz w:val="18"/>
                <w:szCs w:val="18"/>
              </w:rPr>
              <w:t xml:space="preserve"> Tomsk Pulse Lithotripter UROLIT with TPI1-1k/20 switches.</w:t>
            </w:r>
          </w:p>
        </w:tc>
        <w:tc>
          <w:tcPr>
            <w:tcW w:w="5357" w:type="dxa"/>
          </w:tcPr>
          <w:p w:rsidR="00B33425" w:rsidRDefault="00B33425" w:rsidP="00724200">
            <w:pPr>
              <w:pStyle w:val="Paragraph"/>
              <w:spacing w:before="120"/>
              <w:ind w:firstLine="0"/>
              <w:jc w:val="center"/>
              <w:rPr>
                <w:spacing w:val="-1"/>
                <w:sz w:val="18"/>
                <w:szCs w:val="18"/>
              </w:rPr>
            </w:pPr>
            <w:r w:rsidRPr="009E574C">
              <w:rPr>
                <w:b/>
                <w:caps/>
                <w:sz w:val="18"/>
                <w:szCs w:val="18"/>
              </w:rPr>
              <w:t xml:space="preserve">Figure </w:t>
            </w:r>
            <w:r>
              <w:rPr>
                <w:b/>
                <w:caps/>
                <w:sz w:val="18"/>
                <w:szCs w:val="18"/>
              </w:rPr>
              <w:t>5</w:t>
            </w:r>
            <w:r w:rsidRPr="009E574C">
              <w:rPr>
                <w:b/>
                <w:caps/>
                <w:sz w:val="18"/>
                <w:szCs w:val="18"/>
              </w:rPr>
              <w:t>.</w:t>
            </w:r>
            <w:r w:rsidRPr="009E574C">
              <w:rPr>
                <w:noProof/>
                <w:sz w:val="18"/>
                <w:szCs w:val="18"/>
              </w:rPr>
              <w:t xml:space="preserve"> </w:t>
            </w:r>
            <w:r w:rsidRPr="00B33425">
              <w:rPr>
                <w:spacing w:val="-1"/>
                <w:sz w:val="18"/>
                <w:szCs w:val="18"/>
              </w:rPr>
              <w:t>Devices with T</w:t>
            </w:r>
            <w:r>
              <w:rPr>
                <w:spacing w:val="-1"/>
                <w:sz w:val="18"/>
                <w:szCs w:val="18"/>
              </w:rPr>
              <w:t>D</w:t>
            </w:r>
            <w:r w:rsidRPr="00B33425">
              <w:rPr>
                <w:spacing w:val="-1"/>
                <w:sz w:val="18"/>
                <w:szCs w:val="18"/>
              </w:rPr>
              <w:t>I-</w:t>
            </w:r>
            <w:proofErr w:type="spellStart"/>
            <w:r w:rsidRPr="00B33425">
              <w:rPr>
                <w:spacing w:val="-1"/>
                <w:sz w:val="18"/>
                <w:szCs w:val="18"/>
              </w:rPr>
              <w:t>thyratrons.</w:t>
            </w:r>
            <w:proofErr w:type="spellEnd"/>
          </w:p>
          <w:p w:rsidR="00B33425" w:rsidRDefault="00B33425" w:rsidP="00724200">
            <w:pPr>
              <w:pStyle w:val="Paragraph"/>
              <w:ind w:firstLine="0"/>
              <w:jc w:val="center"/>
              <w:rPr>
                <w:noProof/>
                <w:sz w:val="18"/>
                <w:szCs w:val="18"/>
              </w:rPr>
            </w:pPr>
            <w:r>
              <w:rPr>
                <w:spacing w:val="-1"/>
                <w:sz w:val="18"/>
                <w:szCs w:val="18"/>
              </w:rPr>
              <w:t xml:space="preserve">a) </w:t>
            </w:r>
            <w:r w:rsidRPr="009E574C">
              <w:rPr>
                <w:noProof/>
                <w:sz w:val="18"/>
                <w:szCs w:val="18"/>
              </w:rPr>
              <w:t>Gyrotron for ITER  utilizing crowbar</w:t>
            </w:r>
            <w:r w:rsidRPr="009E574C">
              <w:rPr>
                <w:bCs/>
                <w:iCs/>
                <w:sz w:val="18"/>
                <w:szCs w:val="18"/>
              </w:rPr>
              <w:t xml:space="preserve"> </w:t>
            </w:r>
            <w:r w:rsidRPr="009E574C">
              <w:rPr>
                <w:noProof/>
                <w:sz w:val="18"/>
                <w:szCs w:val="18"/>
              </w:rPr>
              <w:t>thyratron TDI1-100k/75D</w:t>
            </w:r>
            <w:r>
              <w:rPr>
                <w:noProof/>
                <w:sz w:val="18"/>
                <w:szCs w:val="18"/>
              </w:rPr>
              <w:t xml:space="preserve">. </w:t>
            </w:r>
          </w:p>
          <w:p w:rsidR="0074215C" w:rsidRPr="009E574C" w:rsidRDefault="00B33425" w:rsidP="00724200">
            <w:pPr>
              <w:pStyle w:val="Paragraph"/>
              <w:ind w:firstLine="0"/>
              <w:jc w:val="center"/>
              <w:rPr>
                <w:sz w:val="18"/>
                <w:szCs w:val="18"/>
              </w:rPr>
            </w:pPr>
            <w:r>
              <w:rPr>
                <w:noProof/>
                <w:sz w:val="18"/>
                <w:szCs w:val="18"/>
              </w:rPr>
              <w:t>b)</w:t>
            </w:r>
            <w:r w:rsidR="0074215C" w:rsidRPr="009E574C">
              <w:rPr>
                <w:spacing w:val="-1"/>
                <w:sz w:val="18"/>
                <w:szCs w:val="18"/>
              </w:rPr>
              <w:t xml:space="preserve"> </w:t>
            </w:r>
            <w:r w:rsidR="009E574C" w:rsidRPr="009E574C">
              <w:rPr>
                <w:noProof/>
                <w:sz w:val="18"/>
                <w:szCs w:val="18"/>
              </w:rPr>
              <w:t>Metal forming and welding with high electro-magnet</w:t>
            </w:r>
            <w:r>
              <w:rPr>
                <w:noProof/>
                <w:sz w:val="18"/>
                <w:szCs w:val="18"/>
              </w:rPr>
              <w:t>ic</w:t>
            </w:r>
            <w:r w:rsidR="009E574C" w:rsidRPr="009E574C">
              <w:rPr>
                <w:noProof/>
                <w:sz w:val="18"/>
                <w:szCs w:val="18"/>
              </w:rPr>
              <w:t xml:space="preserve"> fields machines  (commisioned and used by Germany automobile industry plants) based on TDI1-200k/25H thyratrons.</w:t>
            </w:r>
          </w:p>
        </w:tc>
      </w:tr>
    </w:tbl>
    <w:p w:rsidR="001627BF" w:rsidRPr="001627BF" w:rsidRDefault="001627BF" w:rsidP="00A413DA">
      <w:pPr>
        <w:numPr>
          <w:ilvl w:val="0"/>
          <w:numId w:val="7"/>
        </w:numPr>
        <w:ind w:left="154" w:hanging="284"/>
        <w:jc w:val="both"/>
        <w:rPr>
          <w:bCs/>
          <w:sz w:val="20"/>
        </w:rPr>
      </w:pPr>
      <w:r w:rsidRPr="001627BF">
        <w:rPr>
          <w:bCs/>
          <w:sz w:val="20"/>
        </w:rPr>
        <w:t xml:space="preserve">Duke Free Electron Laser Laboratory, Texas Tech University, Brookhaven National Laboratory, Baker Instrument Company, ONERA, China Academy of Engineering Physics. </w:t>
      </w:r>
    </w:p>
    <w:p w:rsidR="001627BF" w:rsidRPr="001627BF" w:rsidRDefault="001627BF" w:rsidP="00A413DA">
      <w:pPr>
        <w:numPr>
          <w:ilvl w:val="0"/>
          <w:numId w:val="7"/>
        </w:numPr>
        <w:ind w:left="154" w:hanging="284"/>
        <w:jc w:val="both"/>
        <w:rPr>
          <w:bCs/>
          <w:sz w:val="20"/>
        </w:rPr>
      </w:pPr>
      <w:r w:rsidRPr="001627BF">
        <w:rPr>
          <w:bCs/>
          <w:sz w:val="20"/>
        </w:rPr>
        <w:t>Thyratron drivers for TDI, TPI and TGI-switches.</w:t>
      </w:r>
    </w:p>
    <w:p w:rsidR="001627BF" w:rsidRPr="001627BF" w:rsidRDefault="001627BF" w:rsidP="00A413DA">
      <w:pPr>
        <w:numPr>
          <w:ilvl w:val="0"/>
          <w:numId w:val="7"/>
        </w:numPr>
        <w:ind w:left="154" w:hanging="284"/>
        <w:jc w:val="both"/>
        <w:rPr>
          <w:bCs/>
          <w:sz w:val="20"/>
        </w:rPr>
      </w:pPr>
      <w:proofErr w:type="spellStart"/>
      <w:r w:rsidRPr="001627BF">
        <w:rPr>
          <w:bCs/>
          <w:sz w:val="20"/>
        </w:rPr>
        <w:t>MedLine</w:t>
      </w:r>
      <w:proofErr w:type="spellEnd"/>
      <w:r w:rsidRPr="001627BF">
        <w:rPr>
          <w:bCs/>
          <w:sz w:val="20"/>
        </w:rPr>
        <w:t>, Tomsk Pulse Lithotripter UROLIT with TPI1-1k/20 switches.</w:t>
      </w:r>
    </w:p>
    <w:p w:rsidR="001627BF" w:rsidRPr="001627BF" w:rsidRDefault="001627BF" w:rsidP="00A413DA">
      <w:pPr>
        <w:numPr>
          <w:ilvl w:val="0"/>
          <w:numId w:val="7"/>
        </w:numPr>
        <w:ind w:left="154" w:hanging="284"/>
        <w:jc w:val="both"/>
        <w:rPr>
          <w:bCs/>
          <w:sz w:val="20"/>
        </w:rPr>
      </w:pPr>
      <w:r w:rsidRPr="001627BF">
        <w:rPr>
          <w:bCs/>
          <w:sz w:val="20"/>
        </w:rPr>
        <w:t>DC and Pulsed X-Ray tubes.</w:t>
      </w:r>
    </w:p>
    <w:p w:rsidR="001627BF" w:rsidRPr="00040369" w:rsidRDefault="001627BF" w:rsidP="00040369">
      <w:pPr>
        <w:pStyle w:val="2"/>
      </w:pPr>
      <w:r w:rsidRPr="00040369">
        <w:t xml:space="preserve">TDI-switches applications </w:t>
      </w:r>
      <w:r w:rsidR="009E574C" w:rsidRPr="00040369">
        <w:t>(</w:t>
      </w:r>
      <w:r w:rsidR="00040369">
        <w:t>F</w:t>
      </w:r>
      <w:r w:rsidR="009E574C" w:rsidRPr="00040369">
        <w:t xml:space="preserve">ig. </w:t>
      </w:r>
      <w:r w:rsidR="00B33425" w:rsidRPr="00040369">
        <w:t>5</w:t>
      </w:r>
      <w:r w:rsidR="009E574C" w:rsidRPr="00040369">
        <w:t>-</w:t>
      </w:r>
      <w:r w:rsidR="00224CE0" w:rsidRPr="00040369">
        <w:t>1</w:t>
      </w:r>
      <w:r w:rsidR="00BF2E93" w:rsidRPr="00040369">
        <w:t>0</w:t>
      </w:r>
      <w:r w:rsidR="00224CE0" w:rsidRPr="00040369">
        <w:t>)</w:t>
      </w:r>
    </w:p>
    <w:p w:rsidR="001627BF" w:rsidRPr="001627BF" w:rsidRDefault="001627BF" w:rsidP="00A413DA">
      <w:pPr>
        <w:numPr>
          <w:ilvl w:val="0"/>
          <w:numId w:val="6"/>
        </w:numPr>
        <w:ind w:left="227" w:hanging="284"/>
        <w:jc w:val="both"/>
        <w:rPr>
          <w:spacing w:val="-1"/>
          <w:sz w:val="20"/>
        </w:rPr>
      </w:pPr>
      <w:r w:rsidRPr="001627BF">
        <w:rPr>
          <w:spacing w:val="-1"/>
          <w:sz w:val="20"/>
        </w:rPr>
        <w:t xml:space="preserve">Environmentally-friendly, energy-saving robotic industries – electro-magnet pulsed technologies, electron beam, laser and electro-hydraulic pulsed machining and treatment of materials. </w:t>
      </w:r>
    </w:p>
    <w:p w:rsidR="001627BF" w:rsidRPr="001627BF" w:rsidRDefault="001627BF" w:rsidP="00A413DA">
      <w:pPr>
        <w:numPr>
          <w:ilvl w:val="0"/>
          <w:numId w:val="6"/>
        </w:numPr>
        <w:ind w:left="227" w:hanging="284"/>
        <w:jc w:val="both"/>
        <w:rPr>
          <w:spacing w:val="-1"/>
          <w:sz w:val="20"/>
        </w:rPr>
      </w:pPr>
      <w:r w:rsidRPr="001627BF">
        <w:rPr>
          <w:spacing w:val="-1"/>
          <w:sz w:val="20"/>
        </w:rPr>
        <w:t>Oil production – seismic exploration, electric drilling, installations for cleaning-up of oil production instruments and improvement of oil well efficiency.</w:t>
      </w:r>
    </w:p>
    <w:p w:rsidR="001627BF" w:rsidRPr="001627BF" w:rsidRDefault="001627BF" w:rsidP="00A413DA">
      <w:pPr>
        <w:numPr>
          <w:ilvl w:val="0"/>
          <w:numId w:val="6"/>
        </w:numPr>
        <w:ind w:left="227" w:hanging="284"/>
        <w:jc w:val="both"/>
        <w:rPr>
          <w:spacing w:val="-1"/>
          <w:sz w:val="20"/>
        </w:rPr>
      </w:pPr>
      <w:r w:rsidRPr="001627BF">
        <w:rPr>
          <w:spacing w:val="-1"/>
          <w:sz w:val="20"/>
        </w:rPr>
        <w:t xml:space="preserve">Crowbar protection circuits for TV and Radio-equipment, other high-power radio engineering equipment, including </w:t>
      </w:r>
      <w:proofErr w:type="spellStart"/>
      <w:r w:rsidRPr="001627BF">
        <w:rPr>
          <w:spacing w:val="-1"/>
          <w:sz w:val="20"/>
        </w:rPr>
        <w:t>gyrotrons</w:t>
      </w:r>
      <w:proofErr w:type="spellEnd"/>
      <w:r w:rsidRPr="001627BF">
        <w:rPr>
          <w:spacing w:val="-1"/>
          <w:sz w:val="20"/>
        </w:rPr>
        <w:t xml:space="preserve">. </w:t>
      </w:r>
    </w:p>
    <w:p w:rsidR="001627BF" w:rsidRPr="001627BF" w:rsidRDefault="001627BF" w:rsidP="00A413DA">
      <w:pPr>
        <w:numPr>
          <w:ilvl w:val="0"/>
          <w:numId w:val="6"/>
        </w:numPr>
        <w:ind w:left="227" w:hanging="284"/>
        <w:jc w:val="both"/>
        <w:rPr>
          <w:spacing w:val="-1"/>
          <w:sz w:val="20"/>
        </w:rPr>
      </w:pPr>
      <w:r w:rsidRPr="001627BF">
        <w:rPr>
          <w:spacing w:val="-1"/>
          <w:sz w:val="20"/>
        </w:rPr>
        <w:t>Electro-physics -  Dense Plasma Focus, Charged Particles Accelerators, Nuclear Fusion, Plasma Lens; High Power Lasers, etc;</w:t>
      </w:r>
    </w:p>
    <w:p w:rsidR="009E574C" w:rsidRPr="00502B6C" w:rsidRDefault="001627BF" w:rsidP="00502B6C">
      <w:pPr>
        <w:numPr>
          <w:ilvl w:val="0"/>
          <w:numId w:val="6"/>
        </w:numPr>
        <w:ind w:left="227" w:hanging="284"/>
        <w:jc w:val="both"/>
        <w:rPr>
          <w:spacing w:val="-1"/>
          <w:sz w:val="20"/>
        </w:rPr>
      </w:pPr>
      <w:r w:rsidRPr="001627BF">
        <w:rPr>
          <w:spacing w:val="-1"/>
          <w:sz w:val="20"/>
        </w:rPr>
        <w:t xml:space="preserve">Health Care -  Urology  (Shock Wave Lithotripsy for Kidney Stone Treatment), Orthopedic, Ophthalmology etc.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78"/>
        <w:gridCol w:w="3798"/>
      </w:tblGrid>
      <w:tr w:rsidR="009E574C" w:rsidTr="00224CE0">
        <w:trPr>
          <w:trHeight w:val="2453"/>
        </w:trPr>
        <w:tc>
          <w:tcPr>
            <w:tcW w:w="5778" w:type="dxa"/>
          </w:tcPr>
          <w:p w:rsidR="009E574C" w:rsidRDefault="009E574C" w:rsidP="00D72E6E">
            <w:pPr>
              <w:pStyle w:val="Paragraph"/>
              <w:ind w:firstLine="0"/>
              <w:jc w:val="left"/>
            </w:pPr>
            <w:r>
              <w:rPr>
                <w:noProof/>
                <w:lang w:val="ru-RU" w:eastAsia="ru-RU"/>
              </w:rPr>
              <w:drawing>
                <wp:anchor distT="0" distB="0" distL="114300" distR="114300" simplePos="0" relativeHeight="251678720" behindDoc="0" locked="0" layoutInCell="1" allowOverlap="1">
                  <wp:simplePos x="0" y="0"/>
                  <wp:positionH relativeFrom="column">
                    <wp:posOffset>-49530</wp:posOffset>
                  </wp:positionH>
                  <wp:positionV relativeFrom="paragraph">
                    <wp:posOffset>635</wp:posOffset>
                  </wp:positionV>
                  <wp:extent cx="3413125" cy="1534795"/>
                  <wp:effectExtent l="19050" t="0" r="0" b="0"/>
                  <wp:wrapSquare wrapText="bothSides"/>
                  <wp:docPr id="27" name="Рисунок 1" descr="http://helionenergy.com/wp-content/uploads/2011/04/IPA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elionenergy.com/wp-content/uploads/2011/04/IPA_50.jpg"/>
                          <pic:cNvPicPr>
                            <a:picLocks noChangeAspect="1" noChangeArrowheads="1"/>
                          </pic:cNvPicPr>
                        </pic:nvPicPr>
                        <pic:blipFill>
                          <a:blip r:embed="rId16" cstate="print"/>
                          <a:srcRect/>
                          <a:stretch>
                            <a:fillRect/>
                          </a:stretch>
                        </pic:blipFill>
                        <pic:spPr bwMode="auto">
                          <a:xfrm>
                            <a:off x="0" y="0"/>
                            <a:ext cx="3413125" cy="1534795"/>
                          </a:xfrm>
                          <a:prstGeom prst="rect">
                            <a:avLst/>
                          </a:prstGeom>
                          <a:noFill/>
                          <a:ln w="9525">
                            <a:noFill/>
                            <a:miter lim="800000"/>
                            <a:headEnd/>
                            <a:tailEnd/>
                          </a:ln>
                        </pic:spPr>
                      </pic:pic>
                    </a:graphicData>
                  </a:graphic>
                </wp:anchor>
              </w:drawing>
            </w:r>
          </w:p>
        </w:tc>
        <w:tc>
          <w:tcPr>
            <w:tcW w:w="3798" w:type="dxa"/>
          </w:tcPr>
          <w:p w:rsidR="009E574C" w:rsidRDefault="009E574C" w:rsidP="00D72E6E">
            <w:pPr>
              <w:pStyle w:val="Paragraph"/>
              <w:ind w:firstLine="0"/>
              <w:jc w:val="center"/>
            </w:pPr>
            <w:r>
              <w:rPr>
                <w:noProof/>
                <w:lang w:val="ru-RU" w:eastAsia="ru-RU"/>
              </w:rPr>
              <w:drawing>
                <wp:anchor distT="0" distB="0" distL="114300" distR="114300" simplePos="0" relativeHeight="251679744" behindDoc="0" locked="0" layoutInCell="1" allowOverlap="1">
                  <wp:simplePos x="0" y="0"/>
                  <wp:positionH relativeFrom="column">
                    <wp:posOffset>150495</wp:posOffset>
                  </wp:positionH>
                  <wp:positionV relativeFrom="paragraph">
                    <wp:posOffset>635</wp:posOffset>
                  </wp:positionV>
                  <wp:extent cx="1925320" cy="1534795"/>
                  <wp:effectExtent l="19050" t="0" r="0" b="0"/>
                  <wp:wrapSquare wrapText="bothSides"/>
                  <wp:docPr id="25" name="Рисунок 37" descr="C:\Users\Виктор\Documents\Letters\Россия\Москва\Грибков Дубровский\ПФ Гриб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Виктор\Documents\Letters\Россия\Москва\Грибков Дубровский\ПФ Грибков.jpg"/>
                          <pic:cNvPicPr>
                            <a:picLocks noChangeAspect="1" noChangeArrowheads="1"/>
                          </pic:cNvPicPr>
                        </pic:nvPicPr>
                        <pic:blipFill>
                          <a:blip r:embed="rId17" cstate="print"/>
                          <a:srcRect/>
                          <a:stretch>
                            <a:fillRect/>
                          </a:stretch>
                        </pic:blipFill>
                        <pic:spPr bwMode="auto">
                          <a:xfrm>
                            <a:off x="0" y="0"/>
                            <a:ext cx="1925320" cy="1534795"/>
                          </a:xfrm>
                          <a:prstGeom prst="rect">
                            <a:avLst/>
                          </a:prstGeom>
                          <a:noFill/>
                          <a:ln w="9525">
                            <a:noFill/>
                            <a:miter lim="800000"/>
                            <a:headEnd/>
                            <a:tailEnd/>
                          </a:ln>
                        </pic:spPr>
                      </pic:pic>
                    </a:graphicData>
                  </a:graphic>
                </wp:anchor>
              </w:drawing>
            </w:r>
          </w:p>
        </w:tc>
      </w:tr>
      <w:tr w:rsidR="009E574C" w:rsidRPr="009E574C" w:rsidTr="00D72E6E">
        <w:trPr>
          <w:trHeight w:val="291"/>
        </w:trPr>
        <w:tc>
          <w:tcPr>
            <w:tcW w:w="5778" w:type="dxa"/>
          </w:tcPr>
          <w:p w:rsidR="009E574C" w:rsidRPr="009E574C" w:rsidRDefault="009E574C" w:rsidP="00670880">
            <w:pPr>
              <w:jc w:val="center"/>
              <w:rPr>
                <w:bCs/>
                <w:sz w:val="18"/>
                <w:szCs w:val="18"/>
              </w:rPr>
            </w:pPr>
            <w:r w:rsidRPr="009E574C">
              <w:rPr>
                <w:b/>
                <w:spacing w:val="-1"/>
                <w:sz w:val="18"/>
                <w:szCs w:val="18"/>
              </w:rPr>
              <w:t xml:space="preserve">FIGURE </w:t>
            </w:r>
            <w:r w:rsidR="00B33425">
              <w:rPr>
                <w:b/>
                <w:spacing w:val="-1"/>
                <w:sz w:val="18"/>
                <w:szCs w:val="18"/>
              </w:rPr>
              <w:t>6</w:t>
            </w:r>
            <w:r w:rsidRPr="009E574C">
              <w:rPr>
                <w:b/>
                <w:spacing w:val="-1"/>
                <w:sz w:val="18"/>
                <w:szCs w:val="18"/>
              </w:rPr>
              <w:t>.</w:t>
            </w:r>
            <w:r w:rsidRPr="009E574C">
              <w:rPr>
                <w:spacing w:val="-1"/>
                <w:sz w:val="18"/>
                <w:szCs w:val="18"/>
              </w:rPr>
              <w:t xml:space="preserve"> </w:t>
            </w:r>
            <w:r w:rsidRPr="009E574C">
              <w:rPr>
                <w:noProof/>
                <w:sz w:val="18"/>
                <w:szCs w:val="18"/>
              </w:rPr>
              <w:t>Nuclear fusion research installations, built on pulse power supplies with TDI4-100k/45H thyratrons by Pulsetech. (US, Canada).</w:t>
            </w:r>
          </w:p>
          <w:p w:rsidR="009E574C" w:rsidRPr="009E574C" w:rsidRDefault="009E574C" w:rsidP="00502B6C">
            <w:pPr>
              <w:ind w:left="-133"/>
              <w:jc w:val="center"/>
              <w:rPr>
                <w:bCs/>
                <w:sz w:val="18"/>
                <w:szCs w:val="18"/>
              </w:rPr>
            </w:pPr>
          </w:p>
        </w:tc>
        <w:tc>
          <w:tcPr>
            <w:tcW w:w="3798" w:type="dxa"/>
          </w:tcPr>
          <w:p w:rsidR="009E574C" w:rsidRPr="009E574C" w:rsidRDefault="009E574C" w:rsidP="00B33425">
            <w:pPr>
              <w:pStyle w:val="Paragraph"/>
              <w:ind w:firstLine="0"/>
              <w:jc w:val="center"/>
              <w:rPr>
                <w:sz w:val="18"/>
                <w:szCs w:val="18"/>
              </w:rPr>
            </w:pPr>
            <w:r w:rsidRPr="009E574C">
              <w:rPr>
                <w:b/>
                <w:caps/>
                <w:sz w:val="18"/>
                <w:szCs w:val="18"/>
              </w:rPr>
              <w:t xml:space="preserve">Figure </w:t>
            </w:r>
            <w:r w:rsidR="00B33425">
              <w:rPr>
                <w:b/>
                <w:caps/>
                <w:sz w:val="18"/>
                <w:szCs w:val="18"/>
              </w:rPr>
              <w:t>7</w:t>
            </w:r>
            <w:r>
              <w:rPr>
                <w:b/>
                <w:caps/>
                <w:sz w:val="18"/>
                <w:szCs w:val="18"/>
              </w:rPr>
              <w:t>.</w:t>
            </w:r>
            <w:r w:rsidRPr="009E574C">
              <w:rPr>
                <w:noProof/>
                <w:sz w:val="18"/>
                <w:szCs w:val="18"/>
              </w:rPr>
              <w:t xml:space="preserve"> Dense Plasma Focus with TDI1-200k/25H thyratrons. (Nanyang Technological University, Singapore).</w:t>
            </w:r>
          </w:p>
        </w:tc>
      </w:tr>
    </w:tbl>
    <w:p w:rsidR="00502B6C" w:rsidRPr="00502B6C" w:rsidRDefault="00502B6C" w:rsidP="00502B6C">
      <w:pPr>
        <w:ind w:left="227"/>
        <w:jc w:val="both"/>
        <w:rPr>
          <w:spacing w:val="-1"/>
          <w:sz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45"/>
        <w:gridCol w:w="3231"/>
      </w:tblGrid>
      <w:tr w:rsidR="00502B6C" w:rsidTr="00502B6C">
        <w:trPr>
          <w:trHeight w:val="2497"/>
        </w:trPr>
        <w:tc>
          <w:tcPr>
            <w:tcW w:w="6345" w:type="dxa"/>
          </w:tcPr>
          <w:p w:rsidR="00502B6C" w:rsidRDefault="00BF2E93" w:rsidP="00D72E6E">
            <w:pPr>
              <w:pStyle w:val="Paragraph"/>
              <w:ind w:firstLine="0"/>
              <w:jc w:val="left"/>
            </w:pPr>
            <w:r>
              <w:rPr>
                <w:noProof/>
                <w:lang w:val="ru-RU" w:eastAsia="ru-RU"/>
              </w:rPr>
              <w:pict>
                <v:shape id="_x0000_s1042" type="#_x0000_t202" style="position:absolute;margin-left:253.45pt;margin-top:182.05pt;width:26.25pt;height:21.75pt;z-index:251717632;mso-height-percent:200;mso-height-percent:200;mso-width-relative:margin;mso-height-relative:margin">
                  <v:textbox style="mso-next-textbox:#_x0000_s1042;mso-fit-shape-to-text:t">
                    <w:txbxContent>
                      <w:p w:rsidR="00BF2E93" w:rsidRDefault="00BF2E93" w:rsidP="004D73C0">
                        <w:pPr>
                          <w:rPr>
                            <w:lang w:val="ru-RU"/>
                          </w:rPr>
                        </w:pPr>
                        <w:r>
                          <w:t>b)</w:t>
                        </w:r>
                      </w:p>
                    </w:txbxContent>
                  </v:textbox>
                </v:shape>
              </w:pict>
            </w:r>
            <w:r>
              <w:rPr>
                <w:noProof/>
                <w:lang w:val="ru-RU" w:eastAsia="ru-RU"/>
              </w:rPr>
              <w:pict>
                <v:shape id="_x0000_s1041" type="#_x0000_t202" style="position:absolute;margin-left:28.1pt;margin-top:181.65pt;width:26.25pt;height:21.75pt;z-index:251716608;mso-height-percent:200;mso-height-percent:200;mso-width-relative:margin;mso-height-relative:margin">
                  <v:textbox style="mso-next-textbox:#_x0000_s1041;mso-fit-shape-to-text:t">
                    <w:txbxContent>
                      <w:p w:rsidR="00BF2E93" w:rsidRDefault="00BF2E93" w:rsidP="004D73C0">
                        <w:pPr>
                          <w:rPr>
                            <w:lang w:val="ru-RU"/>
                          </w:rPr>
                        </w:pPr>
                        <w:r>
                          <w:t>a)</w:t>
                        </w:r>
                      </w:p>
                    </w:txbxContent>
                  </v:textbox>
                </v:shape>
              </w:pict>
            </w:r>
            <w:r w:rsidR="004D73C0">
              <w:rPr>
                <w:noProof/>
                <w:lang w:val="ru-RU" w:eastAsia="ru-RU"/>
              </w:rPr>
              <w:pict>
                <v:shape id="_x0000_s1039" type="#_x0000_t202" style="position:absolute;margin-left:106.15pt;margin-top:103.25pt;width:26.25pt;height:21.75pt;z-index:251712512;mso-height-percent:200;mso-height-percent:200;mso-width-relative:margin;mso-height-relative:margin">
                  <v:textbox style="mso-next-textbox:#_x0000_s1039;mso-fit-shape-to-text:t">
                    <w:txbxContent>
                      <w:p w:rsidR="004D73C0" w:rsidRDefault="004D73C0" w:rsidP="004D73C0">
                        <w:pPr>
                          <w:rPr>
                            <w:lang w:val="ru-RU"/>
                          </w:rPr>
                        </w:pPr>
                        <w:r>
                          <w:t>a)</w:t>
                        </w:r>
                      </w:p>
                    </w:txbxContent>
                  </v:textbox>
                </v:shape>
              </w:pict>
            </w:r>
            <w:r w:rsidR="004D73C0">
              <w:rPr>
                <w:noProof/>
                <w:lang w:val="ru-RU" w:eastAsia="ru-RU"/>
              </w:rPr>
              <w:drawing>
                <wp:anchor distT="0" distB="0" distL="114300" distR="114300" simplePos="0" relativeHeight="251682816" behindDoc="0" locked="0" layoutInCell="1" allowOverlap="1">
                  <wp:simplePos x="0" y="0"/>
                  <wp:positionH relativeFrom="column">
                    <wp:posOffset>1830705</wp:posOffset>
                  </wp:positionH>
                  <wp:positionV relativeFrom="paragraph">
                    <wp:posOffset>74930</wp:posOffset>
                  </wp:positionV>
                  <wp:extent cx="1779270" cy="1534795"/>
                  <wp:effectExtent l="19050" t="0" r="0" b="0"/>
                  <wp:wrapSquare wrapText="bothSides"/>
                  <wp:docPr id="20" name="Рисунок 7" descr="litotripte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itotripter_b.jpg"/>
                          <pic:cNvPicPr>
                            <a:picLocks noChangeAspect="1" noChangeArrowheads="1"/>
                          </pic:cNvPicPr>
                        </pic:nvPicPr>
                        <pic:blipFill>
                          <a:blip r:embed="rId18" cstate="print"/>
                          <a:srcRect/>
                          <a:stretch>
                            <a:fillRect/>
                          </a:stretch>
                        </pic:blipFill>
                        <pic:spPr bwMode="auto">
                          <a:xfrm>
                            <a:off x="0" y="0"/>
                            <a:ext cx="1779270" cy="1534795"/>
                          </a:xfrm>
                          <a:prstGeom prst="rect">
                            <a:avLst/>
                          </a:prstGeom>
                          <a:noFill/>
                          <a:ln w="9525">
                            <a:noFill/>
                            <a:miter lim="800000"/>
                            <a:headEnd/>
                            <a:tailEnd/>
                          </a:ln>
                        </pic:spPr>
                      </pic:pic>
                    </a:graphicData>
                  </a:graphic>
                </wp:anchor>
              </w:drawing>
            </w:r>
            <w:r w:rsidR="004D73C0">
              <w:rPr>
                <w:noProof/>
                <w:lang w:val="ru-RU" w:eastAsia="ru-RU"/>
              </w:rPr>
              <w:pict>
                <v:shape id="_x0000_s1040" type="#_x0000_t202" style="position:absolute;margin-left:273.95pt;margin-top:102.75pt;width:26.25pt;height:21.75pt;z-index:251713536;mso-height-percent:200;mso-position-horizontal-relative:text;mso-position-vertical-relative:text;mso-height-percent:200;mso-width-relative:margin;mso-height-relative:margin">
                  <v:textbox style="mso-next-textbox:#_x0000_s1040;mso-fit-shape-to-text:t">
                    <w:txbxContent>
                      <w:p w:rsidR="004D73C0" w:rsidRDefault="004D73C0" w:rsidP="004D73C0">
                        <w:pPr>
                          <w:rPr>
                            <w:lang w:val="ru-RU"/>
                          </w:rPr>
                        </w:pPr>
                        <w:r>
                          <w:t>b)</w:t>
                        </w:r>
                      </w:p>
                    </w:txbxContent>
                  </v:textbox>
                </v:shape>
              </w:pict>
            </w:r>
            <w:r w:rsidR="004D73C0" w:rsidRPr="004D73C0">
              <w:drawing>
                <wp:inline distT="0" distB="0" distL="0" distR="0">
                  <wp:extent cx="1796102" cy="1651379"/>
                  <wp:effectExtent l="19050" t="0" r="0" b="0"/>
                  <wp:docPr id="9" name="Рисунок 1" descr="C:\Users\ИП\Pictures\Импульсные технологии\Генераторы\Плазматрон ЦАГИ\Имп плазматрон\Имп плазматрон 2013 30.jpg"/>
                  <wp:cNvGraphicFramePr/>
                  <a:graphic xmlns:a="http://schemas.openxmlformats.org/drawingml/2006/main">
                    <a:graphicData uri="http://schemas.openxmlformats.org/drawingml/2006/picture">
                      <pic:pic xmlns:pic="http://schemas.openxmlformats.org/drawingml/2006/picture">
                        <pic:nvPicPr>
                          <pic:cNvPr id="41986" name="Рисунок 10" descr="C:\Users\ИП\Pictures\Импульсные технологии\Генераторы\Плазматрон ЦАГИ\Имп плазматрон\Имп плазматрон 2013 30.jpg"/>
                          <pic:cNvPicPr>
                            <a:picLocks noChangeAspect="1" noChangeArrowheads="1"/>
                          </pic:cNvPicPr>
                        </pic:nvPicPr>
                        <pic:blipFill>
                          <a:blip r:embed="rId19" cstate="print"/>
                          <a:srcRect/>
                          <a:stretch>
                            <a:fillRect/>
                          </a:stretch>
                        </pic:blipFill>
                        <pic:spPr bwMode="auto">
                          <a:xfrm>
                            <a:off x="0" y="0"/>
                            <a:ext cx="1795373" cy="1650709"/>
                          </a:xfrm>
                          <a:prstGeom prst="rect">
                            <a:avLst/>
                          </a:prstGeom>
                          <a:noFill/>
                          <a:ln w="9525">
                            <a:noFill/>
                            <a:miter lim="800000"/>
                            <a:headEnd/>
                            <a:tailEnd/>
                          </a:ln>
                        </pic:spPr>
                      </pic:pic>
                    </a:graphicData>
                  </a:graphic>
                </wp:inline>
              </w:drawing>
            </w:r>
          </w:p>
        </w:tc>
        <w:tc>
          <w:tcPr>
            <w:tcW w:w="3231" w:type="dxa"/>
          </w:tcPr>
          <w:p w:rsidR="00502B6C" w:rsidRDefault="004D73C0" w:rsidP="00D72E6E">
            <w:pPr>
              <w:pStyle w:val="Paragraph"/>
              <w:ind w:firstLine="0"/>
              <w:jc w:val="center"/>
            </w:pPr>
            <w:r>
              <w:rPr>
                <w:noProof/>
                <w:lang w:val="ru-RU" w:eastAsia="ru-RU"/>
              </w:rPr>
              <w:drawing>
                <wp:anchor distT="0" distB="0" distL="114300" distR="114300" simplePos="0" relativeHeight="251687936" behindDoc="0" locked="0" layoutInCell="1" allowOverlap="1">
                  <wp:simplePos x="0" y="0"/>
                  <wp:positionH relativeFrom="column">
                    <wp:posOffset>-71755</wp:posOffset>
                  </wp:positionH>
                  <wp:positionV relativeFrom="paragraph">
                    <wp:posOffset>279400</wp:posOffset>
                  </wp:positionV>
                  <wp:extent cx="1945640" cy="900430"/>
                  <wp:effectExtent l="19050" t="0" r="0" b="0"/>
                  <wp:wrapSquare wrapText="bothSides"/>
                  <wp:docPr id="30" name="Рисунок 1" descr="E:\ИП\Documents\Pictures\Импульсные технологии\Драйвера ПБ\2009 ПБ5П\ПБ-5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ИП\Documents\Pictures\Импульсные технологии\Драйвера ПБ\2009 ПБ5П\ПБ-5П.jpg"/>
                          <pic:cNvPicPr>
                            <a:picLocks noChangeAspect="1" noChangeArrowheads="1"/>
                          </pic:cNvPicPr>
                        </pic:nvPicPr>
                        <pic:blipFill>
                          <a:blip r:embed="rId20" cstate="print"/>
                          <a:srcRect/>
                          <a:stretch>
                            <a:fillRect/>
                          </a:stretch>
                        </pic:blipFill>
                        <pic:spPr bwMode="auto">
                          <a:xfrm>
                            <a:off x="0" y="0"/>
                            <a:ext cx="1945640" cy="900430"/>
                          </a:xfrm>
                          <a:prstGeom prst="rect">
                            <a:avLst/>
                          </a:prstGeom>
                          <a:noFill/>
                          <a:ln w="9525">
                            <a:noFill/>
                            <a:miter lim="800000"/>
                            <a:headEnd/>
                            <a:tailEnd/>
                          </a:ln>
                        </pic:spPr>
                      </pic:pic>
                    </a:graphicData>
                  </a:graphic>
                </wp:anchor>
              </w:drawing>
            </w:r>
          </w:p>
        </w:tc>
      </w:tr>
      <w:tr w:rsidR="00502B6C" w:rsidRPr="009E574C" w:rsidTr="00502B6C">
        <w:trPr>
          <w:trHeight w:val="291"/>
        </w:trPr>
        <w:tc>
          <w:tcPr>
            <w:tcW w:w="6345" w:type="dxa"/>
          </w:tcPr>
          <w:p w:rsidR="00B33425" w:rsidRDefault="00502B6C" w:rsidP="00670880">
            <w:pPr>
              <w:spacing w:before="120"/>
              <w:ind w:left="-130"/>
              <w:jc w:val="center"/>
              <w:rPr>
                <w:spacing w:val="-1"/>
                <w:sz w:val="18"/>
                <w:szCs w:val="18"/>
              </w:rPr>
            </w:pPr>
            <w:r w:rsidRPr="009E574C">
              <w:rPr>
                <w:b/>
                <w:spacing w:val="-1"/>
                <w:sz w:val="18"/>
                <w:szCs w:val="18"/>
              </w:rPr>
              <w:t xml:space="preserve">FIGURE </w:t>
            </w:r>
            <w:r w:rsidR="00B33425">
              <w:rPr>
                <w:b/>
                <w:spacing w:val="-1"/>
                <w:sz w:val="18"/>
                <w:szCs w:val="18"/>
              </w:rPr>
              <w:t>8</w:t>
            </w:r>
            <w:r w:rsidRPr="009E574C">
              <w:rPr>
                <w:noProof/>
                <w:sz w:val="18"/>
                <w:szCs w:val="18"/>
              </w:rPr>
              <w:t xml:space="preserve">. </w:t>
            </w:r>
            <w:r w:rsidR="00B33425" w:rsidRPr="00B33425">
              <w:rPr>
                <w:spacing w:val="-1"/>
                <w:sz w:val="18"/>
                <w:szCs w:val="18"/>
              </w:rPr>
              <w:t>Systems with TDI-thyratrons.</w:t>
            </w:r>
          </w:p>
          <w:p w:rsidR="00B33425" w:rsidRDefault="00B33425" w:rsidP="00670880">
            <w:pPr>
              <w:ind w:left="-130"/>
              <w:jc w:val="center"/>
              <w:rPr>
                <w:noProof/>
                <w:sz w:val="18"/>
                <w:szCs w:val="18"/>
              </w:rPr>
            </w:pPr>
            <w:r>
              <w:rPr>
                <w:spacing w:val="-1"/>
                <w:sz w:val="18"/>
                <w:szCs w:val="18"/>
              </w:rPr>
              <w:t xml:space="preserve">a) </w:t>
            </w:r>
            <w:r w:rsidR="00502B6C" w:rsidRPr="009E574C">
              <w:rPr>
                <w:noProof/>
                <w:sz w:val="18"/>
                <w:szCs w:val="18"/>
              </w:rPr>
              <w:t xml:space="preserve">Pulsed repetitive </w:t>
            </w:r>
            <w:r w:rsidR="004D73C0" w:rsidRPr="004D73C0">
              <w:rPr>
                <w:noProof/>
                <w:sz w:val="18"/>
                <w:szCs w:val="18"/>
              </w:rPr>
              <w:t xml:space="preserve">atmospheric </w:t>
            </w:r>
            <w:r w:rsidR="00502B6C" w:rsidRPr="009E574C">
              <w:rPr>
                <w:noProof/>
                <w:sz w:val="18"/>
                <w:szCs w:val="18"/>
              </w:rPr>
              <w:t>pressure plasmatron with a power supply based on TDI1-200k/25HW thyratron for robotic part hardening lines.</w:t>
            </w:r>
          </w:p>
          <w:p w:rsidR="00502B6C" w:rsidRPr="009E574C" w:rsidRDefault="00B33425" w:rsidP="00670880">
            <w:pPr>
              <w:ind w:left="-133"/>
              <w:jc w:val="center"/>
              <w:rPr>
                <w:bCs/>
                <w:sz w:val="18"/>
                <w:szCs w:val="18"/>
              </w:rPr>
            </w:pPr>
            <w:r>
              <w:rPr>
                <w:noProof/>
                <w:sz w:val="18"/>
                <w:szCs w:val="18"/>
              </w:rPr>
              <w:t xml:space="preserve">b) </w:t>
            </w:r>
            <w:r w:rsidR="00502B6C" w:rsidRPr="00502B6C">
              <w:rPr>
                <w:noProof/>
                <w:sz w:val="18"/>
                <w:szCs w:val="18"/>
              </w:rPr>
              <w:t>TDI1-50k/16H switches in Medical lithotripter “Medolit”</w:t>
            </w:r>
            <w:r w:rsidR="004D73C0">
              <w:rPr>
                <w:noProof/>
                <w:sz w:val="18"/>
                <w:szCs w:val="18"/>
              </w:rPr>
              <w:t>.</w:t>
            </w:r>
          </w:p>
        </w:tc>
        <w:tc>
          <w:tcPr>
            <w:tcW w:w="3231" w:type="dxa"/>
          </w:tcPr>
          <w:p w:rsidR="004D73C0" w:rsidRPr="009E574C" w:rsidRDefault="004D73C0" w:rsidP="00670880">
            <w:pPr>
              <w:ind w:left="-133"/>
              <w:jc w:val="center"/>
              <w:rPr>
                <w:noProof/>
                <w:sz w:val="18"/>
                <w:szCs w:val="18"/>
              </w:rPr>
            </w:pPr>
            <w:r w:rsidRPr="009E574C">
              <w:rPr>
                <w:b/>
                <w:caps/>
                <w:sz w:val="18"/>
                <w:szCs w:val="18"/>
              </w:rPr>
              <w:t xml:space="preserve">Figure </w:t>
            </w:r>
            <w:r>
              <w:rPr>
                <w:b/>
                <w:caps/>
                <w:sz w:val="18"/>
                <w:szCs w:val="18"/>
              </w:rPr>
              <w:t>9</w:t>
            </w:r>
            <w:r w:rsidRPr="009E574C">
              <w:rPr>
                <w:b/>
                <w:caps/>
                <w:sz w:val="18"/>
                <w:szCs w:val="18"/>
              </w:rPr>
              <w:t>.</w:t>
            </w:r>
            <w:r w:rsidRPr="009E574C">
              <w:rPr>
                <w:noProof/>
                <w:sz w:val="18"/>
                <w:szCs w:val="18"/>
              </w:rPr>
              <w:t xml:space="preserve"> </w:t>
            </w:r>
            <w:r w:rsidRPr="00502B6C">
              <w:rPr>
                <w:noProof/>
                <w:sz w:val="18"/>
                <w:szCs w:val="18"/>
              </w:rPr>
              <w:t>Thyratron drivers for TDI, TPI and TGI-switches</w:t>
            </w:r>
          </w:p>
          <w:p w:rsidR="00502B6C" w:rsidRPr="009E574C" w:rsidRDefault="00502B6C" w:rsidP="00670880">
            <w:pPr>
              <w:spacing w:before="120"/>
              <w:jc w:val="center"/>
              <w:rPr>
                <w:sz w:val="18"/>
                <w:szCs w:val="18"/>
              </w:rPr>
            </w:pPr>
          </w:p>
        </w:tc>
      </w:tr>
      <w:tr w:rsidR="00502B6C" w:rsidTr="00502B6C">
        <w:trPr>
          <w:trHeight w:val="1909"/>
        </w:trPr>
        <w:tc>
          <w:tcPr>
            <w:tcW w:w="6345" w:type="dxa"/>
          </w:tcPr>
          <w:p w:rsidR="00502B6C" w:rsidRDefault="00502B6C" w:rsidP="00D72E6E">
            <w:pPr>
              <w:pStyle w:val="Paragraph"/>
              <w:ind w:firstLine="0"/>
              <w:jc w:val="left"/>
            </w:pPr>
            <w:r>
              <w:rPr>
                <w:noProof/>
                <w:lang w:val="ru-RU" w:eastAsia="ru-RU"/>
              </w:rPr>
              <w:drawing>
                <wp:anchor distT="0" distB="0" distL="114300" distR="114300" simplePos="0" relativeHeight="251685888" behindDoc="0" locked="0" layoutInCell="1" allowOverlap="1">
                  <wp:simplePos x="0" y="0"/>
                  <wp:positionH relativeFrom="column">
                    <wp:posOffset>-1905</wp:posOffset>
                  </wp:positionH>
                  <wp:positionV relativeFrom="paragraph">
                    <wp:posOffset>80010</wp:posOffset>
                  </wp:positionV>
                  <wp:extent cx="647065" cy="1084580"/>
                  <wp:effectExtent l="19050" t="0" r="635" b="0"/>
                  <wp:wrapSquare wrapText="bothSides"/>
                  <wp:docPr id="23" name="Рисунок 1" descr="ЛА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А86.jpg"/>
                          <pic:cNvPicPr>
                            <a:picLocks noChangeAspect="1" noChangeArrowheads="1"/>
                          </pic:cNvPicPr>
                        </pic:nvPicPr>
                        <pic:blipFill>
                          <a:blip r:embed="rId21" cstate="print"/>
                          <a:srcRect l="7658" t="2921" r="7658" b="6572"/>
                          <a:stretch>
                            <a:fillRect/>
                          </a:stretch>
                        </pic:blipFill>
                        <pic:spPr bwMode="auto">
                          <a:xfrm>
                            <a:off x="0" y="0"/>
                            <a:ext cx="647065" cy="1084580"/>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84864" behindDoc="0" locked="0" layoutInCell="1" allowOverlap="1">
                  <wp:simplePos x="0" y="0"/>
                  <wp:positionH relativeFrom="column">
                    <wp:posOffset>926465</wp:posOffset>
                  </wp:positionH>
                  <wp:positionV relativeFrom="paragraph">
                    <wp:posOffset>148590</wp:posOffset>
                  </wp:positionV>
                  <wp:extent cx="3112770" cy="955040"/>
                  <wp:effectExtent l="19050" t="0" r="0" b="0"/>
                  <wp:wrapSquare wrapText="bothSides"/>
                  <wp:docPr id="22" name="Рисунок 3" descr="E:\ИП\Documents\Pictures\Импульсные технологии\Разрядники\Искровые_разрядники РК и 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ИП\Documents\Pictures\Импульсные технологии\Разрядники\Искровые_разрядники РК и РУ.jpg"/>
                          <pic:cNvPicPr>
                            <a:picLocks noChangeAspect="1" noChangeArrowheads="1"/>
                          </pic:cNvPicPr>
                        </pic:nvPicPr>
                        <pic:blipFill>
                          <a:blip r:embed="rId22" cstate="print"/>
                          <a:srcRect/>
                          <a:stretch>
                            <a:fillRect/>
                          </a:stretch>
                        </pic:blipFill>
                        <pic:spPr bwMode="auto">
                          <a:xfrm>
                            <a:off x="0" y="0"/>
                            <a:ext cx="3112770" cy="955040"/>
                          </a:xfrm>
                          <a:prstGeom prst="rect">
                            <a:avLst/>
                          </a:prstGeom>
                          <a:noFill/>
                          <a:ln w="9525">
                            <a:noFill/>
                            <a:miter lim="800000"/>
                            <a:headEnd/>
                            <a:tailEnd/>
                          </a:ln>
                        </pic:spPr>
                      </pic:pic>
                    </a:graphicData>
                  </a:graphic>
                </wp:anchor>
              </w:drawing>
            </w:r>
          </w:p>
        </w:tc>
        <w:tc>
          <w:tcPr>
            <w:tcW w:w="3231" w:type="dxa"/>
          </w:tcPr>
          <w:p w:rsidR="00502B6C" w:rsidRDefault="00BF2E93" w:rsidP="00D72E6E">
            <w:pPr>
              <w:pStyle w:val="Paragraph"/>
              <w:ind w:firstLine="0"/>
              <w:jc w:val="center"/>
            </w:pPr>
            <w:r>
              <w:rPr>
                <w:noProof/>
                <w:lang w:val="ru-RU" w:eastAsia="ru-RU"/>
              </w:rPr>
              <w:pict>
                <v:shape id="_x0000_s1043" type="#_x0000_t202" style="position:absolute;left:0;text-align:left;margin-left:116.25pt;margin-top:1.35pt;width:26.25pt;height:21.75pt;z-index:251718656;mso-height-percent:200;mso-position-horizontal-relative:text;mso-position-vertical-relative:text;mso-height-percent:200;mso-width-relative:margin;mso-height-relative:margin">
                  <v:textbox style="mso-next-textbox:#_x0000_s1043;mso-fit-shape-to-text:t">
                    <w:txbxContent>
                      <w:p w:rsidR="00BF2E93" w:rsidRDefault="00BF2E93" w:rsidP="004D73C0">
                        <w:pPr>
                          <w:rPr>
                            <w:lang w:val="ru-RU"/>
                          </w:rPr>
                        </w:pPr>
                        <w:r>
                          <w:t>c)</w:t>
                        </w:r>
                      </w:p>
                    </w:txbxContent>
                  </v:textbox>
                </v:shape>
              </w:pict>
            </w:r>
            <w:r w:rsidR="004D73C0" w:rsidRPr="004D73C0">
              <w:drawing>
                <wp:anchor distT="0" distB="0" distL="114300" distR="114300" simplePos="0" relativeHeight="251715584" behindDoc="0" locked="0" layoutInCell="1" allowOverlap="1">
                  <wp:simplePos x="0" y="0"/>
                  <wp:positionH relativeFrom="column">
                    <wp:posOffset>220781</wp:posOffset>
                  </wp:positionH>
                  <wp:positionV relativeFrom="paragraph">
                    <wp:posOffset>-2048709</wp:posOffset>
                  </wp:positionV>
                  <wp:extent cx="1590590" cy="1009934"/>
                  <wp:effectExtent l="19050" t="0" r="7620" b="0"/>
                  <wp:wrapSquare wrapText="bothSides"/>
                  <wp:docPr id="10" name="Рисунок 2" descr="E:\ИП\Documents\Pictures\Импульсные технологии\Разрядники\Неуправляемые ИР\РК2 с 5\РК2 -2 2,5 3, 4 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ИП\Documents\Pictures\Импульсные технологии\Разрядники\Неуправляемые ИР\РК2 с 5\РК2 -2 2,5 3, 4 вар.jpg"/>
                          <pic:cNvPicPr>
                            <a:picLocks noChangeAspect="1" noChangeArrowheads="1"/>
                          </pic:cNvPicPr>
                        </pic:nvPicPr>
                        <pic:blipFill>
                          <a:blip r:embed="rId23" cstate="print"/>
                          <a:srcRect/>
                          <a:stretch>
                            <a:fillRect/>
                          </a:stretch>
                        </pic:blipFill>
                        <pic:spPr bwMode="auto">
                          <a:xfrm>
                            <a:off x="0" y="0"/>
                            <a:ext cx="1592580" cy="1009650"/>
                          </a:xfrm>
                          <a:prstGeom prst="rect">
                            <a:avLst/>
                          </a:prstGeom>
                          <a:noFill/>
                          <a:ln w="9525">
                            <a:noFill/>
                            <a:miter lim="800000"/>
                            <a:headEnd/>
                            <a:tailEnd/>
                          </a:ln>
                        </pic:spPr>
                      </pic:pic>
                    </a:graphicData>
                  </a:graphic>
                </wp:anchor>
              </w:drawing>
            </w:r>
          </w:p>
        </w:tc>
      </w:tr>
      <w:tr w:rsidR="00BF2E93" w:rsidRPr="009E574C" w:rsidTr="00950E24">
        <w:trPr>
          <w:trHeight w:val="291"/>
        </w:trPr>
        <w:tc>
          <w:tcPr>
            <w:tcW w:w="9576" w:type="dxa"/>
            <w:gridSpan w:val="2"/>
          </w:tcPr>
          <w:p w:rsidR="00BF2E93" w:rsidRPr="00BF2E93" w:rsidRDefault="00BF2E93" w:rsidP="00D72E6E">
            <w:pPr>
              <w:ind w:left="-133"/>
              <w:jc w:val="center"/>
              <w:rPr>
                <w:noProof/>
                <w:sz w:val="18"/>
                <w:szCs w:val="18"/>
              </w:rPr>
            </w:pPr>
            <w:r w:rsidRPr="009E574C">
              <w:rPr>
                <w:b/>
                <w:spacing w:val="-1"/>
                <w:sz w:val="18"/>
                <w:szCs w:val="18"/>
              </w:rPr>
              <w:t xml:space="preserve">FIGURE </w:t>
            </w:r>
            <w:r>
              <w:rPr>
                <w:b/>
                <w:spacing w:val="-1"/>
                <w:sz w:val="18"/>
                <w:szCs w:val="18"/>
              </w:rPr>
              <w:t>10</w:t>
            </w:r>
            <w:r w:rsidRPr="009E574C">
              <w:rPr>
                <w:noProof/>
                <w:sz w:val="18"/>
                <w:szCs w:val="18"/>
              </w:rPr>
              <w:t xml:space="preserve">. </w:t>
            </w:r>
            <w:r w:rsidRPr="00BF2E93">
              <w:rPr>
                <w:noProof/>
                <w:sz w:val="18"/>
                <w:szCs w:val="18"/>
              </w:rPr>
              <w:t>Two- and three-electrode spark gaps</w:t>
            </w:r>
          </w:p>
          <w:p w:rsidR="00BF2E93" w:rsidRPr="009E574C" w:rsidRDefault="00BF2E93" w:rsidP="00BF2E93">
            <w:pPr>
              <w:ind w:left="-133"/>
              <w:jc w:val="center"/>
              <w:rPr>
                <w:sz w:val="18"/>
                <w:szCs w:val="18"/>
              </w:rPr>
            </w:pPr>
            <w:r>
              <w:rPr>
                <w:noProof/>
                <w:sz w:val="18"/>
                <w:szCs w:val="18"/>
              </w:rPr>
              <w:t xml:space="preserve">a) </w:t>
            </w:r>
            <w:r w:rsidRPr="00502B6C">
              <w:rPr>
                <w:noProof/>
                <w:sz w:val="18"/>
                <w:szCs w:val="18"/>
              </w:rPr>
              <w:t>LA86 surge arrester for protection of electronics equipment from direct lightning strike with switching charge up to 250 C (Canada, USA).</w:t>
            </w:r>
            <w:r w:rsidRPr="009E574C">
              <w:rPr>
                <w:b/>
                <w:caps/>
                <w:sz w:val="18"/>
                <w:szCs w:val="18"/>
              </w:rPr>
              <w:t xml:space="preserve"> </w:t>
            </w:r>
            <w:r>
              <w:rPr>
                <w:noProof/>
                <w:sz w:val="18"/>
                <w:szCs w:val="18"/>
              </w:rPr>
              <w:t xml:space="preserve">b) </w:t>
            </w:r>
            <w:r w:rsidRPr="00502B6C">
              <w:rPr>
                <w:noProof/>
                <w:sz w:val="18"/>
                <w:szCs w:val="18"/>
              </w:rPr>
              <w:t>RU-series of 3-electrode spark gaps.</w:t>
            </w:r>
            <w:r>
              <w:rPr>
                <w:noProof/>
                <w:sz w:val="18"/>
                <w:szCs w:val="18"/>
              </w:rPr>
              <w:t xml:space="preserve"> c) </w:t>
            </w:r>
            <w:r w:rsidRPr="00502B6C">
              <w:rPr>
                <w:noProof/>
                <w:sz w:val="18"/>
                <w:szCs w:val="18"/>
              </w:rPr>
              <w:t>Patented design of 2-e</w:t>
            </w:r>
            <w:r>
              <w:rPr>
                <w:noProof/>
                <w:sz w:val="18"/>
                <w:szCs w:val="18"/>
              </w:rPr>
              <w:t>le</w:t>
            </w:r>
            <w:r w:rsidRPr="00502B6C">
              <w:rPr>
                <w:noProof/>
                <w:sz w:val="18"/>
                <w:szCs w:val="18"/>
              </w:rPr>
              <w:t>ctrode spark gaps for operating voltage 0.5-5 kV not containing radioactive isotopes.</w:t>
            </w:r>
          </w:p>
        </w:tc>
      </w:tr>
    </w:tbl>
    <w:p w:rsidR="001627BF" w:rsidRPr="00040369" w:rsidRDefault="001627BF" w:rsidP="00040369">
      <w:pPr>
        <w:pStyle w:val="2"/>
      </w:pPr>
      <w:r w:rsidRPr="00040369">
        <w:t xml:space="preserve">Competitive advantages of TDI and TDI-switches </w:t>
      </w:r>
    </w:p>
    <w:p w:rsidR="001627BF" w:rsidRPr="001627BF" w:rsidRDefault="001627BF" w:rsidP="001627BF">
      <w:pPr>
        <w:ind w:firstLine="284"/>
        <w:jc w:val="both"/>
        <w:rPr>
          <w:spacing w:val="-1"/>
          <w:sz w:val="20"/>
        </w:rPr>
      </w:pPr>
      <w:r w:rsidRPr="001627BF">
        <w:rPr>
          <w:spacing w:val="-1"/>
          <w:sz w:val="20"/>
        </w:rPr>
        <w:t>The main limitations for application of the existing switches are unavoidable power losses on internal resistance in on-state and low lifetime of the switches (spark gaps, thyratrons and modulator tubes). In terms of total cumulative charge the lifetime of spark gaps reaches 100 – 10 000 C, thyratrons and modulator tubes with thermionic cathode up to 5</w:t>
      </w:r>
      <w:r w:rsidRPr="001627BF">
        <w:rPr>
          <w:spacing w:val="-1"/>
          <w:sz w:val="20"/>
        </w:rPr>
        <w:sym w:font="Symbol" w:char="00D7"/>
      </w:r>
      <w:r w:rsidRPr="001627BF">
        <w:rPr>
          <w:spacing w:val="-1"/>
          <w:sz w:val="20"/>
        </w:rPr>
        <w:t>10</w:t>
      </w:r>
      <w:r w:rsidRPr="001627BF">
        <w:rPr>
          <w:spacing w:val="-1"/>
          <w:sz w:val="20"/>
          <w:vertAlign w:val="superscript"/>
        </w:rPr>
        <w:t>5</w:t>
      </w:r>
      <w:r w:rsidRPr="001627BF">
        <w:rPr>
          <w:spacing w:val="-1"/>
          <w:sz w:val="20"/>
        </w:rPr>
        <w:t xml:space="preserve"> C, mercury ignitrons – up to 10</w:t>
      </w:r>
      <w:r w:rsidRPr="001627BF">
        <w:rPr>
          <w:spacing w:val="-1"/>
          <w:sz w:val="20"/>
          <w:vertAlign w:val="superscript"/>
        </w:rPr>
        <w:t xml:space="preserve">5 </w:t>
      </w:r>
      <w:r w:rsidRPr="001627BF">
        <w:rPr>
          <w:spacing w:val="-1"/>
          <w:sz w:val="20"/>
        </w:rPr>
        <w:t xml:space="preserve">C. The limits in spark gaps are defined by severe electrode erosion, in thyratrons and modulator tubes by loss of thermionic cathode emission, increase of grid thermo-currents, reduction of hold-off voltage, in ignitrons – by critical damage of anode electrode, contamination of mercury by electrode metal vapors and death of igniter. For wider application in industrial systems in contrast to military applications another important requirement is a cost of the device. Hydrogen thyratrons with thermionic cathode are  rather expensive, for example CX2708 thyratron (e2v technologies, UK) with maximum anode voltage of 40 kV costs </w:t>
      </w:r>
      <w:r w:rsidR="00B228A4">
        <w:rPr>
          <w:spacing w:val="-1"/>
          <w:sz w:val="20"/>
        </w:rPr>
        <w:t xml:space="preserve">more </w:t>
      </w:r>
      <w:r w:rsidR="00B228A4" w:rsidRPr="001627BF">
        <w:rPr>
          <w:spacing w:val="-1"/>
          <w:sz w:val="20"/>
        </w:rPr>
        <w:t>2</w:t>
      </w:r>
      <w:r w:rsidR="00B228A4">
        <w:rPr>
          <w:spacing w:val="-1"/>
          <w:sz w:val="20"/>
        </w:rPr>
        <w:t>0</w:t>
      </w:r>
      <w:r w:rsidR="00B228A4" w:rsidRPr="001627BF">
        <w:rPr>
          <w:spacing w:val="-1"/>
          <w:sz w:val="20"/>
        </w:rPr>
        <w:t>000</w:t>
      </w:r>
      <w:r w:rsidRPr="001627BF">
        <w:rPr>
          <w:spacing w:val="-1"/>
          <w:sz w:val="20"/>
        </w:rPr>
        <w:t xml:space="preserve">US$. </w:t>
      </w:r>
    </w:p>
    <w:p w:rsidR="001627BF" w:rsidRPr="001627BF" w:rsidRDefault="001627BF" w:rsidP="001627BF">
      <w:pPr>
        <w:ind w:firstLine="284"/>
        <w:jc w:val="both"/>
        <w:rPr>
          <w:spacing w:val="-1"/>
          <w:sz w:val="20"/>
        </w:rPr>
      </w:pPr>
      <w:r w:rsidRPr="001627BF">
        <w:rPr>
          <w:spacing w:val="-1"/>
          <w:sz w:val="20"/>
        </w:rPr>
        <w:t xml:space="preserve">The lifetime of semiconductor switches (SOS-diodes, IGBT, PCSS, MOSFET, FID-switches) reaches 20000 hours, which in 1990s determined a decline in sales of vacuum and plasma counterparts. In the meantime the solid state switches are </w:t>
      </w:r>
      <w:r w:rsidR="0091162C" w:rsidRPr="001627BF">
        <w:rPr>
          <w:spacing w:val="-1"/>
          <w:sz w:val="20"/>
        </w:rPr>
        <w:t>able</w:t>
      </w:r>
      <w:r w:rsidRPr="001627BF">
        <w:rPr>
          <w:spacing w:val="-1"/>
          <w:sz w:val="20"/>
        </w:rPr>
        <w:t xml:space="preserve"> to reliably replace vacuum and plasma switches in low power devices, switching relatively low voltages and currents. There is a number of technologies, including emerging applications, in which plasma switches have no alternative. Thus it was generally accepted that the most significant advantages of sold-state switches over plasma tubes were higher lifetimes, better energy efficiency (p-n junction voltage drop is 1.5-3 V only, the voltage drop in plasma switches is 20-200 V), no need for cathode heating, small dimensions, light weight and low price for the same set of output parameters. However for output currents over 1 kV and voltages over 5 kV at current rise rate exceeding 10</w:t>
      </w:r>
      <w:r w:rsidRPr="001627BF">
        <w:rPr>
          <w:spacing w:val="-1"/>
          <w:sz w:val="20"/>
          <w:vertAlign w:val="superscript"/>
        </w:rPr>
        <w:t>9</w:t>
      </w:r>
      <w:r w:rsidRPr="001627BF">
        <w:rPr>
          <w:spacing w:val="-1"/>
          <w:sz w:val="20"/>
        </w:rPr>
        <w:t xml:space="preserve"> A/s the only benefit of solid state devices was a lifetime expectancy, as dimension and weight were critically increased due to series connection of elements, application of magnetic compression, fluid cooling, high-voltage isolation between separate switches, overvoltage protection etc, which reduced efficiency down to 18-30% and made the cost of assemblies unreasonably high.  At the same time just a single thyratron is able to switch high energy and peak currents with a high rate of rise and efficiency of 90-99%, which makes them practically indispensable. </w:t>
      </w:r>
    </w:p>
    <w:p w:rsidR="001627BF" w:rsidRPr="001627BF" w:rsidRDefault="001627BF" w:rsidP="001627BF">
      <w:pPr>
        <w:ind w:firstLine="284"/>
        <w:jc w:val="both"/>
        <w:rPr>
          <w:spacing w:val="-1"/>
          <w:sz w:val="20"/>
        </w:rPr>
      </w:pPr>
      <w:r w:rsidRPr="001627BF">
        <w:rPr>
          <w:spacing w:val="-1"/>
          <w:sz w:val="20"/>
        </w:rPr>
        <w:t xml:space="preserve">Pseudospark switches by Pulsetech are internationally patented with priority since 1990. There are only 2 manufacturers of switches similar to TDI-type thyratrons for anode currents up to 150 kA: the world-renown English company e2v technologies (HX3020) and a company </w:t>
      </w:r>
      <w:proofErr w:type="spellStart"/>
      <w:r w:rsidRPr="001627BF">
        <w:rPr>
          <w:spacing w:val="-1"/>
          <w:sz w:val="20"/>
        </w:rPr>
        <w:t>Alstom</w:t>
      </w:r>
      <w:proofErr w:type="spellEnd"/>
      <w:r w:rsidRPr="001627BF">
        <w:rPr>
          <w:spacing w:val="-1"/>
          <w:sz w:val="20"/>
        </w:rPr>
        <w:t xml:space="preserve"> </w:t>
      </w:r>
      <w:proofErr w:type="spellStart"/>
      <w:r w:rsidRPr="001627BF">
        <w:rPr>
          <w:spacing w:val="-1"/>
          <w:sz w:val="20"/>
        </w:rPr>
        <w:t>Vakuumschalttechnik</w:t>
      </w:r>
      <w:proofErr w:type="spellEnd"/>
      <w:r w:rsidRPr="001627BF">
        <w:rPr>
          <w:spacing w:val="-1"/>
          <w:sz w:val="20"/>
        </w:rPr>
        <w:t xml:space="preserve"> GmbH (Germany), which in 2000 started production of pseudospark switches FS2000 and FS3000. At the moment no data on market availability is available. TPI-type switches absolutely have  no commercially available analogues.</w:t>
      </w:r>
    </w:p>
    <w:p w:rsidR="001627BF" w:rsidRPr="001627BF" w:rsidRDefault="001627BF" w:rsidP="001627BF">
      <w:pPr>
        <w:ind w:firstLine="284"/>
        <w:jc w:val="both"/>
        <w:rPr>
          <w:spacing w:val="-1"/>
          <w:sz w:val="20"/>
        </w:rPr>
      </w:pPr>
      <w:r w:rsidRPr="001627BF">
        <w:rPr>
          <w:spacing w:val="-1"/>
          <w:sz w:val="20"/>
        </w:rPr>
        <w:t>In 2000-2015 Pulsed technologies ltd. have carried out research work aimed to improve operation and competitive strength of the switches. Thus, provided technical margin of 20-30% of output parameters ratings, which is also characteristic for solid-state devices, TPI-switches have lifetime expectancy not less than that for semiconductors’. A standard endurance testing of TPI1-0.2k/12 thyratron has revealed lifetimes not less than 20 000 hours. For high power TPI-thyratrons in modes with sub-microsecond pulse width and peak currents up to 10 kA the expected lifetime is not less than 10 million Coulombs in terms of total cumulative charge transfer. The values are at least 10 000 higher than for spark gaps and 10 times higher than for classical thyratrons (e.g. TGI). TDI- and TPI-switches can be operated either from cathode and anode parts.</w:t>
      </w:r>
    </w:p>
    <w:p w:rsidR="001627BF" w:rsidRPr="001627BF" w:rsidRDefault="001627BF" w:rsidP="001627BF">
      <w:pPr>
        <w:ind w:firstLine="284"/>
        <w:jc w:val="both"/>
        <w:rPr>
          <w:spacing w:val="-1"/>
          <w:sz w:val="20"/>
        </w:rPr>
      </w:pPr>
      <w:r w:rsidRPr="001627BF">
        <w:rPr>
          <w:spacing w:val="-1"/>
          <w:sz w:val="20"/>
        </w:rPr>
        <w:t xml:space="preserve">Investigations, carried out in </w:t>
      </w:r>
      <w:proofErr w:type="spellStart"/>
      <w:r w:rsidRPr="001627BF">
        <w:rPr>
          <w:spacing w:val="-1"/>
          <w:sz w:val="20"/>
        </w:rPr>
        <w:t>Budker’s</w:t>
      </w:r>
      <w:proofErr w:type="spellEnd"/>
      <w:r w:rsidRPr="001627BF">
        <w:rPr>
          <w:spacing w:val="-1"/>
          <w:sz w:val="20"/>
        </w:rPr>
        <w:t xml:space="preserve"> Institute of Nuclear Physics SB RAS, have shown that TPI-switches are remarkable for exquisite parameters, for example, TPI5-10k/50 thyratron hold-off voltage recovery time is a fraction  microseconds after conduction of forward anode current up to 10 kA [17]. TPI1-0.2k/12 has a time of transition into on-state of less than 3 ns at peak currents up to 1 kA [18]. </w:t>
      </w:r>
    </w:p>
    <w:p w:rsidR="001627BF" w:rsidRPr="001627BF" w:rsidRDefault="001627BF" w:rsidP="001627BF">
      <w:pPr>
        <w:ind w:firstLine="284"/>
        <w:jc w:val="both"/>
        <w:rPr>
          <w:spacing w:val="-1"/>
          <w:sz w:val="20"/>
        </w:rPr>
      </w:pPr>
      <w:r w:rsidRPr="001627BF">
        <w:rPr>
          <w:spacing w:val="-1"/>
          <w:sz w:val="20"/>
        </w:rPr>
        <w:t>TDI-switches in terms of reliability, high timing stability and value for money surpass all known power switches, including rail-gap.</w:t>
      </w:r>
    </w:p>
    <w:p w:rsidR="001627BF" w:rsidRPr="001627BF" w:rsidRDefault="001627BF" w:rsidP="001627BF">
      <w:pPr>
        <w:ind w:firstLine="284"/>
        <w:jc w:val="both"/>
        <w:rPr>
          <w:spacing w:val="-1"/>
          <w:sz w:val="20"/>
        </w:rPr>
      </w:pPr>
      <w:r w:rsidRPr="001627BF">
        <w:rPr>
          <w:spacing w:val="-1"/>
          <w:sz w:val="20"/>
          <w:u w:val="single"/>
        </w:rPr>
        <w:t>Circuit schematic simplicity.</w:t>
      </w:r>
      <w:r w:rsidRPr="001627BF">
        <w:rPr>
          <w:spacing w:val="-1"/>
          <w:sz w:val="20"/>
        </w:rPr>
        <w:t xml:space="preserve"> In is important to note another interesting property of the new thyratrons. All preceding cold cathode thyratrons, including pseudospark switches, were not completely “cold”. Operating without heating of cathode they cannot be operated without permanently heater hydrogen reservoir (2-90 W). </w:t>
      </w:r>
    </w:p>
    <w:p w:rsidR="001627BF" w:rsidRPr="001627BF" w:rsidRDefault="001627BF" w:rsidP="001627BF">
      <w:pPr>
        <w:ind w:firstLine="284"/>
        <w:jc w:val="both"/>
        <w:rPr>
          <w:spacing w:val="-1"/>
          <w:sz w:val="20"/>
        </w:rPr>
      </w:pPr>
      <w:r w:rsidRPr="001627BF">
        <w:rPr>
          <w:spacing w:val="-1"/>
          <w:sz w:val="20"/>
        </w:rPr>
        <w:t>TDI- and TPI-thyratrons, equipped with a patented built-in device “SNRV”</w:t>
      </w:r>
      <w:r w:rsidR="00CC130B" w:rsidRPr="00CC130B">
        <w:rPr>
          <w:spacing w:val="-1"/>
          <w:sz w:val="20"/>
        </w:rPr>
        <w:t xml:space="preserve"> </w:t>
      </w:r>
      <w:r w:rsidR="00CC130B">
        <w:rPr>
          <w:spacing w:val="-1"/>
          <w:sz w:val="20"/>
        </w:rPr>
        <w:t>(Fig.11)</w:t>
      </w:r>
      <w:r w:rsidRPr="001627BF">
        <w:rPr>
          <w:spacing w:val="-1"/>
          <w:sz w:val="20"/>
        </w:rPr>
        <w:t xml:space="preserve"> are capable of operating in absolutely “cold state”, that is without heating of reservoir [21].  As a result we have principally novel switches, combining very best properties of thyratrons, vacuum and spark gaps, solid-state switches. This solution allows to substantially improve performance of our switches, makes it easier to operate in circuits with cathode under high potential (both cathode and anode), offers almost instant readiness. </w:t>
      </w:r>
    </w:p>
    <w:p w:rsidR="00CB53CE" w:rsidRPr="001627BF" w:rsidRDefault="00CB53CE" w:rsidP="00CB53CE">
      <w:pPr>
        <w:ind w:firstLine="284"/>
        <w:jc w:val="both"/>
        <w:rPr>
          <w:spacing w:val="-1"/>
          <w:sz w:val="20"/>
        </w:rPr>
      </w:pPr>
      <w:r w:rsidRPr="001627BF">
        <w:rPr>
          <w:spacing w:val="-1"/>
          <w:sz w:val="20"/>
        </w:rPr>
        <w:t xml:space="preserve">The Pulsetech pseudospark switches are capable of operating with voltage reversals up to 100% [9]. We have an extensive experience of TDI1-50k/50 switches operation in sources of low-energy (20-40 </w:t>
      </w:r>
      <w:proofErr w:type="spellStart"/>
      <w:r w:rsidRPr="001627BF">
        <w:rPr>
          <w:spacing w:val="-1"/>
          <w:sz w:val="20"/>
        </w:rPr>
        <w:t>keV</w:t>
      </w:r>
      <w:proofErr w:type="spellEnd"/>
      <w:r w:rsidRPr="001627BF">
        <w:rPr>
          <w:spacing w:val="-1"/>
          <w:sz w:val="20"/>
        </w:rPr>
        <w:t>), high current (30 kA), small aperture (S &gt; 10 cm</w:t>
      </w:r>
      <w:r w:rsidRPr="001627BF">
        <w:rPr>
          <w:spacing w:val="-1"/>
          <w:sz w:val="20"/>
          <w:vertAlign w:val="superscript"/>
        </w:rPr>
        <w:t>2</w:t>
      </w:r>
      <w:r w:rsidRPr="001627BF">
        <w:rPr>
          <w:spacing w:val="-1"/>
          <w:sz w:val="20"/>
        </w:rPr>
        <w:t>) electron beams.</w:t>
      </w:r>
    </w:p>
    <w:p w:rsidR="001627BF" w:rsidRPr="001627BF" w:rsidRDefault="001627BF" w:rsidP="00040369">
      <w:pPr>
        <w:ind w:firstLine="284"/>
        <w:jc w:val="both"/>
        <w:rPr>
          <w:spacing w:val="-1"/>
          <w:sz w:val="20"/>
        </w:rPr>
      </w:pPr>
      <w:r w:rsidRPr="001627BF">
        <w:rPr>
          <w:noProof/>
          <w:spacing w:val="-1"/>
          <w:sz w:val="20"/>
          <w:lang w:val="ru-RU" w:eastAsia="ru-RU"/>
        </w:rPr>
        <w:drawing>
          <wp:anchor distT="0" distB="0" distL="114300" distR="114300" simplePos="0" relativeHeight="251688960" behindDoc="0" locked="0" layoutInCell="1" allowOverlap="1">
            <wp:simplePos x="0" y="0"/>
            <wp:positionH relativeFrom="column">
              <wp:posOffset>32385</wp:posOffset>
            </wp:positionH>
            <wp:positionV relativeFrom="paragraph">
              <wp:posOffset>84455</wp:posOffset>
            </wp:positionV>
            <wp:extent cx="1830070" cy="1691640"/>
            <wp:effectExtent l="19050" t="0" r="0" b="0"/>
            <wp:wrapSquare wrapText="bothSides"/>
            <wp:docPr id="29" name="Рисунок 3" descr="C:\Documents and Settings\Импульсные_Системы\Фото\ТДИ\ТДИ5 ТДИ 14\TDI50k45S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Импульсные_Системы\Фото\ТДИ\ТДИ5 ТДИ 14\TDI50k45SN white.jpg"/>
                    <pic:cNvPicPr>
                      <a:picLocks noChangeAspect="1" noChangeArrowheads="1"/>
                    </pic:cNvPicPr>
                  </pic:nvPicPr>
                  <pic:blipFill>
                    <a:blip r:embed="rId24" cstate="print"/>
                    <a:srcRect/>
                    <a:stretch>
                      <a:fillRect/>
                    </a:stretch>
                  </pic:blipFill>
                  <pic:spPr bwMode="auto">
                    <a:xfrm>
                      <a:off x="0" y="0"/>
                      <a:ext cx="1830070" cy="1691640"/>
                    </a:xfrm>
                    <a:prstGeom prst="rect">
                      <a:avLst/>
                    </a:prstGeom>
                    <a:noFill/>
                    <a:ln w="9525">
                      <a:noFill/>
                      <a:miter lim="800000"/>
                      <a:headEnd/>
                      <a:tailEnd/>
                    </a:ln>
                  </pic:spPr>
                </pic:pic>
              </a:graphicData>
            </a:graphic>
          </wp:anchor>
        </w:drawing>
      </w:r>
    </w:p>
    <w:p w:rsidR="001627BF" w:rsidRPr="001627BF" w:rsidRDefault="001627BF" w:rsidP="00040369">
      <w:pPr>
        <w:ind w:firstLine="284"/>
        <w:jc w:val="both"/>
        <w:rPr>
          <w:noProof/>
          <w:sz w:val="20"/>
        </w:rPr>
      </w:pPr>
    </w:p>
    <w:p w:rsidR="001627BF" w:rsidRPr="00224CE0" w:rsidRDefault="00224CE0" w:rsidP="00670880">
      <w:pPr>
        <w:ind w:firstLine="284"/>
        <w:jc w:val="center"/>
        <w:rPr>
          <w:noProof/>
          <w:sz w:val="18"/>
          <w:szCs w:val="18"/>
        </w:rPr>
      </w:pPr>
      <w:r w:rsidRPr="00224CE0">
        <w:rPr>
          <w:b/>
          <w:caps/>
          <w:sz w:val="18"/>
          <w:szCs w:val="18"/>
        </w:rPr>
        <w:t>Figure 1</w:t>
      </w:r>
      <w:r w:rsidR="00CC130B">
        <w:rPr>
          <w:b/>
          <w:caps/>
          <w:sz w:val="18"/>
          <w:szCs w:val="18"/>
        </w:rPr>
        <w:t>1</w:t>
      </w:r>
      <w:r w:rsidRPr="00224CE0">
        <w:rPr>
          <w:b/>
          <w:caps/>
          <w:sz w:val="18"/>
          <w:szCs w:val="18"/>
        </w:rPr>
        <w:t>.</w:t>
      </w:r>
      <w:r w:rsidRPr="00224CE0">
        <w:rPr>
          <w:noProof/>
          <w:sz w:val="18"/>
          <w:szCs w:val="18"/>
        </w:rPr>
        <w:t xml:space="preserve"> </w:t>
      </w:r>
      <w:r w:rsidR="001627BF" w:rsidRPr="00224CE0">
        <w:rPr>
          <w:noProof/>
          <w:sz w:val="18"/>
          <w:szCs w:val="18"/>
        </w:rPr>
        <w:t>TDI1-100k/45SN - thyratrons, are capable of operating without heating of reservoir</w:t>
      </w:r>
    </w:p>
    <w:p w:rsidR="001627BF" w:rsidRPr="001627BF" w:rsidRDefault="001627BF" w:rsidP="00040369">
      <w:pPr>
        <w:ind w:firstLine="284"/>
        <w:jc w:val="both"/>
        <w:rPr>
          <w:noProof/>
          <w:sz w:val="20"/>
        </w:rPr>
      </w:pPr>
    </w:p>
    <w:p w:rsidR="00CB53CE" w:rsidRPr="001627BF" w:rsidRDefault="00CB53CE" w:rsidP="00CB53CE">
      <w:pPr>
        <w:ind w:firstLine="284"/>
        <w:jc w:val="both"/>
        <w:rPr>
          <w:spacing w:val="-1"/>
          <w:sz w:val="20"/>
        </w:rPr>
      </w:pPr>
      <w:r w:rsidRPr="001627BF">
        <w:rPr>
          <w:spacing w:val="-1"/>
          <w:sz w:val="20"/>
        </w:rPr>
        <w:t>TDI1-200k/25H thyratron lifetime in EMPT forming and welding machines in automotive industry reaches more than 2 million Coulomb of total cumulative charge transfer at 4 C per shot.</w:t>
      </w:r>
    </w:p>
    <w:p w:rsidR="00CB53CE" w:rsidRPr="001627BF" w:rsidRDefault="00CB53CE" w:rsidP="00CB53CE">
      <w:pPr>
        <w:ind w:firstLine="284"/>
        <w:jc w:val="both"/>
        <w:rPr>
          <w:spacing w:val="-1"/>
          <w:sz w:val="20"/>
        </w:rPr>
      </w:pPr>
      <w:r w:rsidRPr="001627BF">
        <w:rPr>
          <w:spacing w:val="-1"/>
          <w:sz w:val="20"/>
        </w:rPr>
        <w:t>Specifically designed thyratron drivers series PB-5P and PB-3D are used to trigger, control and support TPI and TDI-thyratrons, including operation under high potential on cathode and via a fiber optic channel.</w:t>
      </w:r>
    </w:p>
    <w:p w:rsidR="001627BF" w:rsidRPr="001627BF" w:rsidRDefault="001627BF" w:rsidP="00040369">
      <w:pPr>
        <w:ind w:firstLine="284"/>
        <w:jc w:val="both"/>
        <w:rPr>
          <w:spacing w:val="-1"/>
          <w:sz w:val="20"/>
        </w:rPr>
      </w:pPr>
      <w:r w:rsidRPr="001627BF">
        <w:rPr>
          <w:spacing w:val="-1"/>
          <w:sz w:val="20"/>
        </w:rPr>
        <w:t xml:space="preserve">The international expansion of the TPI- and TDI-switches could only be made thanks to scientific marketing efforts and, first  of all, thanks to a vast expertise, accumulated by Russian scientists and engineers, utilizing the switches, and their valuable recommendations. Gradually came a recognition by global users. </w:t>
      </w:r>
    </w:p>
    <w:p w:rsidR="001627BF" w:rsidRPr="001627BF" w:rsidRDefault="001627BF" w:rsidP="00040369">
      <w:pPr>
        <w:ind w:firstLine="284"/>
        <w:jc w:val="both"/>
        <w:rPr>
          <w:spacing w:val="-1"/>
          <w:sz w:val="20"/>
        </w:rPr>
      </w:pPr>
      <w:r w:rsidRPr="001627BF">
        <w:rPr>
          <w:spacing w:val="-1"/>
          <w:sz w:val="20"/>
        </w:rPr>
        <w:t xml:space="preserve">High quality and competitive strength of the switches is approved by a considerable portion of total sales in USA, Canada, Japan, Germany, China, Israel etc. In 2007-2015 export sales constituted more than 70% of total production. </w:t>
      </w:r>
    </w:p>
    <w:p w:rsidR="001627BF" w:rsidRPr="001627BF" w:rsidRDefault="001627BF" w:rsidP="00040369">
      <w:pPr>
        <w:ind w:firstLine="284"/>
        <w:jc w:val="both"/>
        <w:rPr>
          <w:spacing w:val="-1"/>
          <w:sz w:val="20"/>
        </w:rPr>
      </w:pPr>
      <w:r w:rsidRPr="001627BF">
        <w:rPr>
          <w:spacing w:val="-1"/>
          <w:sz w:val="20"/>
        </w:rPr>
        <w:t xml:space="preserve">Time reveals that TDI and TPI thyratrons maintain a number of advantages over known switches. Including </w:t>
      </w:r>
      <w:proofErr w:type="spellStart"/>
      <w:r w:rsidRPr="001627BF">
        <w:rPr>
          <w:spacing w:val="-1"/>
          <w:sz w:val="20"/>
        </w:rPr>
        <w:t>soild</w:t>
      </w:r>
      <w:proofErr w:type="spellEnd"/>
      <w:r w:rsidRPr="001627BF">
        <w:rPr>
          <w:spacing w:val="-1"/>
          <w:sz w:val="20"/>
        </w:rPr>
        <w:t xml:space="preserve"> state devices. That is clearly borne out by a fact of sales to institutions occupied in design and development of cutting-the-edge solid state high voltage switches (</w:t>
      </w:r>
      <w:proofErr w:type="spellStart"/>
      <w:r w:rsidRPr="001627BF">
        <w:rPr>
          <w:spacing w:val="-1"/>
          <w:sz w:val="20"/>
        </w:rPr>
        <w:t>Ioffe</w:t>
      </w:r>
      <w:proofErr w:type="spellEnd"/>
      <w:r w:rsidRPr="001627BF">
        <w:rPr>
          <w:spacing w:val="-1"/>
          <w:sz w:val="20"/>
        </w:rPr>
        <w:t xml:space="preserve"> Institute, Institute of Electro-Physics etc). Another fact proving that is contract with leading international companies. In particular we manufacture and ship 5 different types of switches with voltage ratings 25, 45 and 75 kV, peak current 200 kA, energy per shot 14 kJ to customers in Seattle, California, Kansas, Canada etc for main switches and crowbar protection. And we keep on improving our products, in particular lifetime and reliability.</w:t>
      </w:r>
    </w:p>
    <w:p w:rsidR="001627BF" w:rsidRPr="001627BF" w:rsidRDefault="001627BF" w:rsidP="00040369">
      <w:pPr>
        <w:jc w:val="both"/>
        <w:rPr>
          <w:spacing w:val="-1"/>
          <w:sz w:val="20"/>
        </w:rPr>
      </w:pPr>
      <w:r w:rsidRPr="001627BF">
        <w:rPr>
          <w:spacing w:val="-1"/>
          <w:sz w:val="20"/>
        </w:rPr>
        <w:t>All devices are patented in Russia and the US.</w:t>
      </w:r>
    </w:p>
    <w:p w:rsidR="001627BF" w:rsidRPr="00276266" w:rsidRDefault="001627BF" w:rsidP="001627BF">
      <w:pPr>
        <w:pStyle w:val="5"/>
        <w:jc w:val="center"/>
        <w:rPr>
          <w:rFonts w:ascii="Times New Roman" w:hAnsi="Times New Roman" w:cs="Times New Roman"/>
          <w:b/>
          <w:color w:val="auto"/>
        </w:rPr>
      </w:pPr>
      <w:r w:rsidRPr="00276266">
        <w:rPr>
          <w:rFonts w:ascii="Times New Roman" w:hAnsi="Times New Roman" w:cs="Times New Roman"/>
          <w:b/>
          <w:color w:val="auto"/>
        </w:rPr>
        <w:t>REFERENCES</w:t>
      </w:r>
    </w:p>
    <w:p w:rsidR="001627BF" w:rsidRPr="006153ED" w:rsidRDefault="001627BF" w:rsidP="002262F8">
      <w:pPr>
        <w:pStyle w:val="Paragraph"/>
        <w:ind w:left="644" w:firstLine="0"/>
      </w:pPr>
    </w:p>
    <w:p w:rsidR="001627BF" w:rsidRPr="006153ED" w:rsidRDefault="001627BF" w:rsidP="000238F2">
      <w:pPr>
        <w:pStyle w:val="Paragraph"/>
        <w:numPr>
          <w:ilvl w:val="0"/>
          <w:numId w:val="16"/>
        </w:numPr>
        <w:ind w:left="397" w:hanging="397"/>
      </w:pPr>
      <w:proofErr w:type="spellStart"/>
      <w:r w:rsidRPr="00FE6493">
        <w:t>Yutkin</w:t>
      </w:r>
      <w:proofErr w:type="spellEnd"/>
      <w:r w:rsidRPr="00FE6493">
        <w:t xml:space="preserve"> L</w:t>
      </w:r>
      <w:r>
        <w:t>.</w:t>
      </w:r>
      <w:r w:rsidRPr="00FE6493">
        <w:t>A</w:t>
      </w:r>
      <w:r>
        <w:t>.</w:t>
      </w:r>
      <w:r w:rsidRPr="00FE6493">
        <w:t xml:space="preserve"> The </w:t>
      </w:r>
      <w:proofErr w:type="spellStart"/>
      <w:r w:rsidRPr="00FE6493">
        <w:t>electrohydraulic</w:t>
      </w:r>
      <w:proofErr w:type="spellEnd"/>
      <w:r w:rsidRPr="00FE6493">
        <w:t xml:space="preserve"> effect and its application in industry. - L</w:t>
      </w:r>
      <w:r>
        <w:t>eningrad</w:t>
      </w:r>
      <w:r w:rsidRPr="00FE6493">
        <w:t>: Engineering</w:t>
      </w:r>
      <w:r>
        <w:t>,</w:t>
      </w:r>
      <w:r w:rsidRPr="00FE6493">
        <w:t xml:space="preserve"> 1986</w:t>
      </w:r>
      <w:r>
        <w:t xml:space="preserve"> (in Russian)</w:t>
      </w:r>
      <w:r w:rsidRPr="00FE6493">
        <w:t>.</w:t>
      </w:r>
    </w:p>
    <w:p w:rsidR="001627BF" w:rsidRPr="006153ED" w:rsidRDefault="001627BF" w:rsidP="000238F2">
      <w:pPr>
        <w:pStyle w:val="Paragraph"/>
        <w:numPr>
          <w:ilvl w:val="0"/>
          <w:numId w:val="16"/>
        </w:numPr>
        <w:ind w:left="397" w:hanging="397"/>
      </w:pPr>
      <w:r w:rsidRPr="006153ED">
        <w:t>J.C.Martin, "On Pulsed Power" in Advances in Pulsed Power Technology, v.3, Edited by T.N.Martin, A.N.Guenther, and M. Kristiansen, Plenum Press, New York and London, 1996, 546 p.</w:t>
      </w:r>
    </w:p>
    <w:p w:rsidR="001627BF" w:rsidRPr="006153ED" w:rsidRDefault="001627BF" w:rsidP="000238F2">
      <w:pPr>
        <w:pStyle w:val="Paragraph"/>
        <w:numPr>
          <w:ilvl w:val="0"/>
          <w:numId w:val="16"/>
        </w:numPr>
        <w:ind w:left="397" w:hanging="397"/>
      </w:pPr>
      <w:r w:rsidRPr="006153ED">
        <w:t>Sinch M., Podlesak T.et al., Proc. 20th Power Modulator Symposium, USA, 1992, P.1-4.</w:t>
      </w:r>
    </w:p>
    <w:p w:rsidR="001627BF" w:rsidRPr="006153ED" w:rsidRDefault="001627BF" w:rsidP="000238F2">
      <w:pPr>
        <w:pStyle w:val="Paragraph"/>
        <w:numPr>
          <w:ilvl w:val="0"/>
          <w:numId w:val="16"/>
        </w:numPr>
        <w:ind w:left="397" w:hanging="397"/>
      </w:pPr>
      <w:r w:rsidRPr="006153ED">
        <w:t>Levy S., Nikolich M. et al., Proc. 20th Power Modulator Symposium, USA, 1992, P.8-14.</w:t>
      </w:r>
    </w:p>
    <w:p w:rsidR="001627BF" w:rsidRDefault="001627BF" w:rsidP="000238F2">
      <w:pPr>
        <w:pStyle w:val="Paragraph"/>
        <w:numPr>
          <w:ilvl w:val="0"/>
          <w:numId w:val="16"/>
        </w:numPr>
        <w:ind w:left="397" w:hanging="397"/>
      </w:pPr>
      <w:r>
        <w:t>Mesiats</w:t>
      </w:r>
      <w:r w:rsidRPr="00492AFD">
        <w:t xml:space="preserve"> </w:t>
      </w:r>
      <w:r w:rsidRPr="003F3541">
        <w:t>G</w:t>
      </w:r>
      <w:r>
        <w:t>.</w:t>
      </w:r>
      <w:r w:rsidRPr="003F3541">
        <w:t>A</w:t>
      </w:r>
      <w:r>
        <w:t>.,</w:t>
      </w:r>
      <w:r w:rsidRPr="003F3541">
        <w:t xml:space="preserve"> Pulsed Power and Electronics, Moscow: Nauka, 2004.</w:t>
      </w:r>
    </w:p>
    <w:p w:rsidR="001627BF" w:rsidRPr="006153ED" w:rsidRDefault="001627BF" w:rsidP="000238F2">
      <w:pPr>
        <w:pStyle w:val="Paragraph"/>
        <w:numPr>
          <w:ilvl w:val="0"/>
          <w:numId w:val="16"/>
        </w:numPr>
        <w:ind w:left="397" w:hanging="397"/>
      </w:pPr>
      <w:r w:rsidRPr="006153ED">
        <w:t>Slough J., Pihl Ch., Bochkov V.D., Bochkov D.V., et al, 17th IEEE International PPC, 2009, Washington DC, P. 255-259.</w:t>
      </w:r>
    </w:p>
    <w:p w:rsidR="001627BF" w:rsidRPr="002262F8" w:rsidRDefault="001627BF" w:rsidP="000238F2">
      <w:pPr>
        <w:pStyle w:val="Paragraph"/>
        <w:numPr>
          <w:ilvl w:val="0"/>
          <w:numId w:val="16"/>
        </w:numPr>
        <w:ind w:left="397" w:hanging="397"/>
      </w:pPr>
      <w:r w:rsidRPr="002262F8">
        <w:t xml:space="preserve">M. W. Binderbauer, T. </w:t>
      </w:r>
      <w:proofErr w:type="spellStart"/>
      <w:r w:rsidRPr="002262F8">
        <w:t>Tajima</w:t>
      </w:r>
      <w:proofErr w:type="spellEnd"/>
      <w:r w:rsidRPr="002262F8">
        <w:t>, L. C.</w:t>
      </w:r>
      <w:r w:rsidR="00F45CCE" w:rsidRPr="002262F8">
        <w:t xml:space="preserve"> Steinhauer, E. Garate, et al, </w:t>
      </w:r>
      <w:r w:rsidRPr="002262F8">
        <w:t xml:space="preserve"> </w:t>
      </w:r>
      <w:proofErr w:type="spellStart"/>
      <w:r w:rsidR="00167AB5" w:rsidRPr="002262F8">
        <w:t>Physics</w:t>
      </w:r>
      <w:proofErr w:type="spellEnd"/>
      <w:r w:rsidR="00167AB5" w:rsidRPr="002262F8">
        <w:t xml:space="preserve"> </w:t>
      </w:r>
      <w:proofErr w:type="spellStart"/>
      <w:r w:rsidR="00167AB5" w:rsidRPr="002262F8">
        <w:t>of</w:t>
      </w:r>
      <w:proofErr w:type="spellEnd"/>
      <w:r w:rsidR="00167AB5" w:rsidRPr="002262F8">
        <w:t xml:space="preserve"> Plasmas </w:t>
      </w:r>
      <w:r w:rsidRPr="002262F8">
        <w:t>22, 056110 (2015) 056110-2 - 056110-16.</w:t>
      </w:r>
    </w:p>
    <w:p w:rsidR="001627BF" w:rsidRPr="006153ED" w:rsidRDefault="001627BF" w:rsidP="000238F2">
      <w:pPr>
        <w:pStyle w:val="Paragraph"/>
        <w:numPr>
          <w:ilvl w:val="0"/>
          <w:numId w:val="16"/>
        </w:numPr>
        <w:ind w:left="397" w:hanging="397"/>
      </w:pPr>
      <w:proofErr w:type="spellStart"/>
      <w:r w:rsidRPr="002262F8">
        <w:t>Bogolyubov</w:t>
      </w:r>
      <w:proofErr w:type="spellEnd"/>
      <w:r w:rsidRPr="002262F8">
        <w:t xml:space="preserve"> E.P., Bochkov V.D., </w:t>
      </w:r>
      <w:proofErr w:type="spellStart"/>
      <w:r w:rsidRPr="002262F8">
        <w:t>Veretennikov</w:t>
      </w:r>
      <w:proofErr w:type="spellEnd"/>
      <w:r w:rsidRPr="002262F8">
        <w:t xml:space="preserve"> V.A., </w:t>
      </w:r>
      <w:proofErr w:type="spellStart"/>
      <w:r w:rsidRPr="002262F8">
        <w:t>Vekhoreva</w:t>
      </w:r>
      <w:proofErr w:type="spellEnd"/>
      <w:r w:rsidRPr="002262F8">
        <w:t xml:space="preserve"> L.T., et al. </w:t>
      </w:r>
      <w:proofErr w:type="spellStart"/>
      <w:r w:rsidRPr="006153ED">
        <w:t>Physica</w:t>
      </w:r>
      <w:proofErr w:type="spellEnd"/>
      <w:r w:rsidRPr="006153ED">
        <w:t xml:space="preserve"> </w:t>
      </w:r>
      <w:proofErr w:type="spellStart"/>
      <w:r w:rsidRPr="006153ED">
        <w:t>Scripta</w:t>
      </w:r>
      <w:proofErr w:type="spellEnd"/>
      <w:r w:rsidRPr="006153ED">
        <w:t>, 1998, Vol.57, P.488-494.</w:t>
      </w:r>
    </w:p>
    <w:p w:rsidR="001627BF" w:rsidRPr="006153ED" w:rsidRDefault="001627BF" w:rsidP="000238F2">
      <w:pPr>
        <w:pStyle w:val="Paragraph"/>
        <w:numPr>
          <w:ilvl w:val="0"/>
          <w:numId w:val="16"/>
        </w:numPr>
        <w:ind w:left="397" w:hanging="397"/>
      </w:pPr>
      <w:r w:rsidRPr="006153ED">
        <w:t>Bochkov V.D., Djagilev V.M., Harris G., Kryutchkov S.P., Ponizovskiy A.Z., et al, Proc. BEAMS '98, Haifa, Israel, 1998,  Vol.2, P.1031-1034.</w:t>
      </w:r>
    </w:p>
    <w:p w:rsidR="001627BF" w:rsidRPr="006153ED" w:rsidRDefault="001627BF" w:rsidP="000238F2">
      <w:pPr>
        <w:pStyle w:val="Paragraph"/>
        <w:numPr>
          <w:ilvl w:val="0"/>
          <w:numId w:val="16"/>
        </w:numPr>
        <w:ind w:left="397" w:hanging="397"/>
      </w:pPr>
      <w:r w:rsidRPr="006153ED">
        <w:t>Zykov A.M., Kolchin K.I., Bochkov V.D., Gnedin I.N., et al,  Proc. 7th Intern. Conf. on Electrostatic Precipit. (ICESP), Korea, 1998, P.465-470.</w:t>
      </w:r>
    </w:p>
    <w:p w:rsidR="001627BF" w:rsidRPr="003B1EF7" w:rsidRDefault="003B1EF7" w:rsidP="000238F2">
      <w:pPr>
        <w:pStyle w:val="Paragraph"/>
        <w:numPr>
          <w:ilvl w:val="0"/>
          <w:numId w:val="16"/>
        </w:numPr>
        <w:ind w:left="397" w:hanging="397"/>
      </w:pPr>
      <w:proofErr w:type="spellStart"/>
      <w:r w:rsidRPr="003B1EF7">
        <w:t>Abramovich</w:t>
      </w:r>
      <w:proofErr w:type="spellEnd"/>
      <w:r w:rsidRPr="003B1EF7">
        <w:t xml:space="preserve"> </w:t>
      </w:r>
      <w:proofErr w:type="spellStart"/>
      <w:r w:rsidRPr="003B1EF7">
        <w:t>L.Y</w:t>
      </w:r>
      <w:r>
        <w:t>u</w:t>
      </w:r>
      <w:proofErr w:type="spellEnd"/>
      <w:r w:rsidRPr="003B1EF7">
        <w:t xml:space="preserve">, </w:t>
      </w:r>
      <w:proofErr w:type="spellStart"/>
      <w:r w:rsidRPr="003B1EF7">
        <w:t>Klyarfel'd</w:t>
      </w:r>
      <w:proofErr w:type="spellEnd"/>
      <w:r w:rsidRPr="003B1EF7">
        <w:t xml:space="preserve"> B.N., </w:t>
      </w:r>
      <w:proofErr w:type="spellStart"/>
      <w:r w:rsidRPr="003B1EF7">
        <w:t>Nastich</w:t>
      </w:r>
      <w:proofErr w:type="spellEnd"/>
      <w:r w:rsidRPr="003B1EF7">
        <w:t xml:space="preserve"> </w:t>
      </w:r>
      <w:proofErr w:type="spellStart"/>
      <w:r w:rsidRPr="003B1EF7">
        <w:t>Y</w:t>
      </w:r>
      <w:r>
        <w:t>u</w:t>
      </w:r>
      <w:r w:rsidRPr="003B1EF7">
        <w:t>.N</w:t>
      </w:r>
      <w:proofErr w:type="spellEnd"/>
      <w:r w:rsidRPr="003B1EF7">
        <w:t xml:space="preserve">., </w:t>
      </w:r>
      <w:r>
        <w:rPr>
          <w:i/>
          <w:iCs/>
          <w:lang/>
        </w:rPr>
        <w:t xml:space="preserve">Technical Physics, </w:t>
      </w:r>
      <w:r w:rsidRPr="003B1EF7">
        <w:t xml:space="preserve">1966, </w:t>
      </w:r>
      <w:r>
        <w:t>v</w:t>
      </w:r>
      <w:r w:rsidRPr="003B1EF7">
        <w:t xml:space="preserve">.36, №4, </w:t>
      </w:r>
      <w:r>
        <w:t>p</w:t>
      </w:r>
      <w:r w:rsidRPr="003B1EF7">
        <w:t>.714.</w:t>
      </w:r>
    </w:p>
    <w:p w:rsidR="001627BF" w:rsidRPr="006153ED" w:rsidRDefault="001627BF" w:rsidP="000238F2">
      <w:pPr>
        <w:pStyle w:val="Paragraph"/>
        <w:numPr>
          <w:ilvl w:val="0"/>
          <w:numId w:val="16"/>
        </w:numPr>
        <w:ind w:left="397" w:hanging="397"/>
      </w:pPr>
      <w:r w:rsidRPr="006153ED">
        <w:t>Special issue IEEE Trans. on Plasma Sci., 1995, Vol.23, N.3.</w:t>
      </w:r>
    </w:p>
    <w:p w:rsidR="001627BF" w:rsidRPr="00504198" w:rsidRDefault="001627BF" w:rsidP="000238F2">
      <w:pPr>
        <w:pStyle w:val="Paragraph"/>
        <w:numPr>
          <w:ilvl w:val="0"/>
          <w:numId w:val="16"/>
        </w:numPr>
        <w:ind w:left="397" w:hanging="397"/>
      </w:pPr>
      <w:proofErr w:type="spellStart"/>
      <w:r w:rsidRPr="00504198">
        <w:t>V.D.Bochkov</w:t>
      </w:r>
      <w:proofErr w:type="spellEnd"/>
      <w:r w:rsidRPr="00504198">
        <w:t xml:space="preserve">, </w:t>
      </w:r>
      <w:proofErr w:type="spellStart"/>
      <w:r w:rsidRPr="00504198">
        <w:t>V.M.Dyagilev</w:t>
      </w:r>
      <w:proofErr w:type="spellEnd"/>
      <w:r w:rsidRPr="00504198">
        <w:t xml:space="preserve">, </w:t>
      </w:r>
      <w:proofErr w:type="spellStart"/>
      <w:r w:rsidRPr="00504198">
        <w:t>Yu.D.Korolev</w:t>
      </w:r>
      <w:proofErr w:type="spellEnd"/>
      <w:r w:rsidRPr="00504198">
        <w:t xml:space="preserve">, and </w:t>
      </w:r>
      <w:proofErr w:type="spellStart"/>
      <w:r w:rsidRPr="00504198">
        <w:t>V.G.Ushich</w:t>
      </w:r>
      <w:proofErr w:type="spellEnd"/>
      <w:r w:rsidRPr="00504198">
        <w:t>, Instruments and Experimental Techniques, Vol.41, No.5, 1998, pp.676-680.</w:t>
      </w:r>
    </w:p>
    <w:p w:rsidR="001627BF" w:rsidRPr="00504198" w:rsidRDefault="001627BF" w:rsidP="000238F2">
      <w:pPr>
        <w:pStyle w:val="Paragraph"/>
        <w:numPr>
          <w:ilvl w:val="0"/>
          <w:numId w:val="16"/>
        </w:numPr>
        <w:ind w:left="397" w:hanging="397"/>
      </w:pPr>
      <w:r w:rsidRPr="00504198">
        <w:t xml:space="preserve">V.D.Bochkov, Yu.D.Korolev, "Pulsed gas-discharge switching devices" in "Encyclopedia of Low Temperature Plasma". Edited by V.E. Fortov, book 4, No. XI.6, Nauka Publishing, Moscow, Russia, 2000, pp. 446-459. </w:t>
      </w:r>
    </w:p>
    <w:p w:rsidR="001627BF" w:rsidRPr="006153ED" w:rsidRDefault="001627BF" w:rsidP="000238F2">
      <w:pPr>
        <w:pStyle w:val="Paragraph"/>
        <w:numPr>
          <w:ilvl w:val="0"/>
          <w:numId w:val="16"/>
        </w:numPr>
        <w:ind w:left="397" w:hanging="397"/>
      </w:pPr>
      <w:r w:rsidRPr="006153ED">
        <w:t xml:space="preserve">Bochkov </w:t>
      </w:r>
      <w:proofErr w:type="spellStart"/>
      <w:r w:rsidRPr="006153ED">
        <w:t>V.D.and</w:t>
      </w:r>
      <w:proofErr w:type="spellEnd"/>
      <w:r w:rsidRPr="006153ED">
        <w:t xml:space="preserve"> </w:t>
      </w:r>
      <w:proofErr w:type="spellStart"/>
      <w:r w:rsidRPr="006153ED">
        <w:t>Pogorel'skii</w:t>
      </w:r>
      <w:proofErr w:type="spellEnd"/>
      <w:r w:rsidRPr="006153ED">
        <w:t xml:space="preserve"> M.M., Instruments and Experimental Techniques, 1998, Vol.41, N.2, P.210-215.</w:t>
      </w:r>
    </w:p>
    <w:p w:rsidR="001627BF" w:rsidRPr="00F45CCE" w:rsidRDefault="001627BF" w:rsidP="000238F2">
      <w:pPr>
        <w:pStyle w:val="Paragraph"/>
        <w:numPr>
          <w:ilvl w:val="0"/>
          <w:numId w:val="16"/>
        </w:numPr>
        <w:ind w:left="397" w:hanging="397"/>
      </w:pPr>
      <w:proofErr w:type="spellStart"/>
      <w:r w:rsidRPr="00F45CCE">
        <w:t>V.Bochkov</w:t>
      </w:r>
      <w:proofErr w:type="spellEnd"/>
      <w:r w:rsidRPr="00F45CCE">
        <w:t xml:space="preserve">, </w:t>
      </w:r>
      <w:proofErr w:type="spellStart"/>
      <w:r w:rsidRPr="00F45CCE">
        <w:t>D.Bochkov</w:t>
      </w:r>
      <w:proofErr w:type="spellEnd"/>
      <w:r w:rsidRPr="00F45CCE">
        <w:t xml:space="preserve">, </w:t>
      </w:r>
      <w:proofErr w:type="spellStart"/>
      <w:r w:rsidRPr="00F45CCE">
        <w:t>V.Nicolaev</w:t>
      </w:r>
      <w:proofErr w:type="spellEnd"/>
      <w:r w:rsidRPr="00F45CCE">
        <w:t xml:space="preserve">, </w:t>
      </w:r>
      <w:proofErr w:type="spellStart"/>
      <w:r w:rsidRPr="00F45CCE">
        <w:t>V.Teryoshin</w:t>
      </w:r>
      <w:proofErr w:type="spellEnd"/>
      <w:r w:rsidRPr="00F45CCE">
        <w:t xml:space="preserve">, </w:t>
      </w:r>
      <w:proofErr w:type="spellStart"/>
      <w:r w:rsidRPr="00F45CCE">
        <w:t>P.Panov</w:t>
      </w:r>
      <w:proofErr w:type="spellEnd"/>
      <w:r w:rsidRPr="00F45CCE">
        <w:t xml:space="preserve">, </w:t>
      </w:r>
      <w:proofErr w:type="spellStart"/>
      <w:r w:rsidRPr="00F45CCE">
        <w:t>A.Batrakov</w:t>
      </w:r>
      <w:proofErr w:type="spellEnd"/>
      <w:r w:rsidRPr="00F45CCE">
        <w:t xml:space="preserve">, </w:t>
      </w:r>
      <w:proofErr w:type="spellStart"/>
      <w:r w:rsidRPr="00F45CCE">
        <w:t>K.Karlik</w:t>
      </w:r>
      <w:proofErr w:type="spellEnd"/>
      <w:r w:rsidRPr="00F45CCE">
        <w:t xml:space="preserve">, </w:t>
      </w:r>
      <w:proofErr w:type="spellStart"/>
      <w:r w:rsidRPr="00F45CCE">
        <w:t>G.Ozur</w:t>
      </w:r>
      <w:proofErr w:type="spellEnd"/>
      <w:r w:rsidRPr="00F45CCE">
        <w:t xml:space="preserve">, </w:t>
      </w:r>
      <w:proofErr w:type="spellStart"/>
      <w:r w:rsidRPr="00F45CCE">
        <w:t>D.Proskurovsky</w:t>
      </w:r>
      <w:proofErr w:type="spellEnd"/>
      <w:r w:rsidRPr="00F45CCE">
        <w:t>, 2012 IEEE  International Power Modulator and High Voltage Conference, San Diego, CA, USA, 2012, pp. 664-667.</w:t>
      </w:r>
    </w:p>
    <w:p w:rsidR="001627BF" w:rsidRPr="006153ED" w:rsidRDefault="001627BF" w:rsidP="000238F2">
      <w:pPr>
        <w:pStyle w:val="Paragraph"/>
        <w:numPr>
          <w:ilvl w:val="0"/>
          <w:numId w:val="16"/>
        </w:numPr>
        <w:ind w:left="397" w:hanging="397"/>
      </w:pPr>
      <w:r w:rsidRPr="006153ED">
        <w:t>Dubinov A.E., Kornilova I.Y., L’vov I.L., Sadovoy S.A., Selemir V.D., et al, IEEE Trans. on Plasma Sci., 2010, Vol.38, N.11, P. 3105-3108.</w:t>
      </w:r>
    </w:p>
    <w:p w:rsidR="001627BF" w:rsidRPr="006153ED" w:rsidRDefault="001627BF" w:rsidP="000238F2">
      <w:pPr>
        <w:pStyle w:val="Paragraph"/>
        <w:numPr>
          <w:ilvl w:val="0"/>
          <w:numId w:val="16"/>
        </w:numPr>
        <w:ind w:left="397" w:hanging="397"/>
      </w:pPr>
      <w:r w:rsidRPr="006153ED">
        <w:t>Akimov A.V., Logachev P.V., Bochkov V.D., Dyagilev V.M. et al, IEEE Transactions on Dielectrics and Electrical Insulation, 2010, Vol. 17, Issue 3, P. 718-722,.</w:t>
      </w:r>
    </w:p>
    <w:p w:rsidR="001627BF" w:rsidRPr="006153ED" w:rsidRDefault="001627BF" w:rsidP="000238F2">
      <w:pPr>
        <w:pStyle w:val="Paragraph"/>
        <w:numPr>
          <w:ilvl w:val="0"/>
          <w:numId w:val="16"/>
        </w:numPr>
        <w:ind w:left="397" w:hanging="397"/>
      </w:pPr>
      <w:r w:rsidRPr="006153ED">
        <w:t>Anchugov O.V., Matveev Yu.G., Shvedov D.A., Bochkov V.D., et al, 2007 PPPC, Albuquerque, NM, USA, 2007, P.1335-1338.</w:t>
      </w:r>
    </w:p>
    <w:p w:rsidR="001627BF" w:rsidRPr="006153ED" w:rsidRDefault="001627BF" w:rsidP="000238F2">
      <w:pPr>
        <w:pStyle w:val="Paragraph"/>
        <w:numPr>
          <w:ilvl w:val="0"/>
          <w:numId w:val="16"/>
        </w:numPr>
        <w:ind w:left="397" w:hanging="397"/>
      </w:pPr>
      <w:r w:rsidRPr="006153ED">
        <w:t>Bokhan P.A., Zakrevsky D.E., Lavrukhin M.A., et al, 17th IEEE PPC,  Washington DC, P. 1303-1308.</w:t>
      </w:r>
    </w:p>
    <w:p w:rsidR="001627BF" w:rsidRPr="006153ED" w:rsidRDefault="001627BF" w:rsidP="000238F2">
      <w:pPr>
        <w:pStyle w:val="Paragraph"/>
        <w:numPr>
          <w:ilvl w:val="0"/>
          <w:numId w:val="16"/>
        </w:numPr>
        <w:ind w:left="397" w:hanging="397"/>
      </w:pPr>
      <w:r w:rsidRPr="006153ED">
        <w:t xml:space="preserve">Bochkov V.D., Bochkov D.V., </w:t>
      </w:r>
      <w:proofErr w:type="spellStart"/>
      <w:r w:rsidRPr="006153ED">
        <w:t>Dyagilev</w:t>
      </w:r>
      <w:proofErr w:type="spellEnd"/>
      <w:r w:rsidRPr="006153ED">
        <w:t xml:space="preserve"> V.M., </w:t>
      </w:r>
      <w:proofErr w:type="spellStart"/>
      <w:r w:rsidRPr="006153ED">
        <w:t>Ushich</w:t>
      </w:r>
      <w:proofErr w:type="spellEnd"/>
      <w:r w:rsidRPr="006153ED">
        <w:t xml:space="preserve"> V.G., ACTA PHYSICA POLONICA A, 2009, N.6, Vol.115, P.980-982.</w:t>
      </w:r>
    </w:p>
    <w:p w:rsidR="001627BF" w:rsidRPr="006153ED" w:rsidRDefault="001627BF" w:rsidP="000238F2">
      <w:pPr>
        <w:pStyle w:val="Paragraph"/>
        <w:numPr>
          <w:ilvl w:val="0"/>
          <w:numId w:val="16"/>
        </w:numPr>
        <w:ind w:left="397" w:hanging="397"/>
      </w:pPr>
      <w:r w:rsidRPr="006153ED">
        <w:t xml:space="preserve">Bochkov V.D., Vlasov P.N., </w:t>
      </w:r>
      <w:proofErr w:type="spellStart"/>
      <w:r w:rsidRPr="006153ED">
        <w:t>Djagilev</w:t>
      </w:r>
      <w:proofErr w:type="spellEnd"/>
      <w:r w:rsidRPr="006153ED">
        <w:t xml:space="preserve"> V.M., </w:t>
      </w:r>
      <w:proofErr w:type="spellStart"/>
      <w:r w:rsidRPr="006153ED">
        <w:t>Seeteekh</w:t>
      </w:r>
      <w:proofErr w:type="spellEnd"/>
      <w:r w:rsidRPr="006153ED">
        <w:t xml:space="preserve"> D.S., </w:t>
      </w:r>
      <w:proofErr w:type="spellStart"/>
      <w:r w:rsidRPr="006153ED">
        <w:t>Ushich</w:t>
      </w:r>
      <w:proofErr w:type="spellEnd"/>
      <w:r w:rsidRPr="006153ED">
        <w:t xml:space="preserve"> V.G., 12th IEEE Intern. Pulsed Power Conference, Monterey, CA, USA, 1999, P.1272-1274.</w:t>
      </w:r>
    </w:p>
    <w:p w:rsidR="001627BF" w:rsidRPr="006153ED" w:rsidRDefault="001627BF" w:rsidP="000238F2">
      <w:pPr>
        <w:pStyle w:val="Paragraph"/>
        <w:numPr>
          <w:ilvl w:val="0"/>
          <w:numId w:val="16"/>
        </w:numPr>
        <w:ind w:left="397" w:hanging="397"/>
      </w:pPr>
      <w:r w:rsidRPr="006153ED">
        <w:t xml:space="preserve">Zharova N.V., Ratakhin N.A., </w:t>
      </w:r>
      <w:proofErr w:type="spellStart"/>
      <w:r w:rsidRPr="006153ED">
        <w:t>Saushkin</w:t>
      </w:r>
      <w:proofErr w:type="spellEnd"/>
      <w:r w:rsidRPr="006153ED">
        <w:t xml:space="preserve"> A.V., </w:t>
      </w:r>
      <w:proofErr w:type="spellStart"/>
      <w:r w:rsidRPr="006153ED">
        <w:t>Fedushchak</w:t>
      </w:r>
      <w:proofErr w:type="spellEnd"/>
      <w:r w:rsidRPr="006153ED">
        <w:t xml:space="preserve"> V.F., and </w:t>
      </w:r>
      <w:proofErr w:type="spellStart"/>
      <w:r w:rsidRPr="006153ED">
        <w:t>Erfort</w:t>
      </w:r>
      <w:proofErr w:type="spellEnd"/>
      <w:r w:rsidRPr="006153ED">
        <w:t xml:space="preserve"> A.A</w:t>
      </w:r>
      <w:r w:rsidR="00F45CCE">
        <w:t xml:space="preserve">, </w:t>
      </w:r>
      <w:r w:rsidRPr="006153ED">
        <w:t>Instruments and Experimental Techniques, 2006, Vol. 49, N. 3, P. 384–387. © Pleiades Publishing, Inc., 2006.</w:t>
      </w:r>
    </w:p>
    <w:p w:rsidR="001627BF" w:rsidRDefault="001627BF" w:rsidP="000238F2">
      <w:pPr>
        <w:pStyle w:val="Paragraph"/>
        <w:numPr>
          <w:ilvl w:val="0"/>
          <w:numId w:val="16"/>
        </w:numPr>
        <w:ind w:left="397" w:hanging="397"/>
      </w:pPr>
      <w:r w:rsidRPr="006153ED">
        <w:t>Bochkov V.D., Drozdovskii A.A., Golubev A.A., Novozhilov Yu.B., et al, ICOPS/SOFE, 2011, Chicago, USA.</w:t>
      </w:r>
    </w:p>
    <w:p w:rsidR="00F45CCE" w:rsidRPr="001627BF" w:rsidRDefault="00F45CCE" w:rsidP="000238F2">
      <w:pPr>
        <w:pStyle w:val="Paragraph"/>
        <w:ind w:left="397" w:hanging="397"/>
      </w:pPr>
    </w:p>
    <w:sectPr w:rsidR="00F45CCE" w:rsidRPr="001627BF" w:rsidSect="00402DA2">
      <w:pgSz w:w="12240" w:h="15840"/>
      <w:pgMar w:top="1440" w:right="1440" w:bottom="1701" w:left="1440"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56BD"/>
    <w:multiLevelType w:val="hybridMultilevel"/>
    <w:tmpl w:val="8344500E"/>
    <w:lvl w:ilvl="0" w:tplc="B496930A">
      <w:start w:val="1"/>
      <w:numFmt w:val="decimal"/>
      <w:lvlText w:val="%1."/>
      <w:lvlJc w:val="left"/>
      <w:pPr>
        <w:ind w:left="1004" w:hanging="360"/>
      </w:pPr>
      <w:rPr>
        <w:rFonts w:asciiTheme="minorHAnsi" w:hAnsiTheme="minorHAnsi" w:hint="default"/>
        <w:sz w:val="20"/>
        <w:vertAlign w:val="baseline"/>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48F0752"/>
    <w:multiLevelType w:val="hybridMultilevel"/>
    <w:tmpl w:val="1032A628"/>
    <w:lvl w:ilvl="0" w:tplc="624EE9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04673D"/>
    <w:multiLevelType w:val="hybridMultilevel"/>
    <w:tmpl w:val="DEE6DD9C"/>
    <w:lvl w:ilvl="0" w:tplc="52449388">
      <w:start w:val="1"/>
      <w:numFmt w:val="bullet"/>
      <w:lvlText w:val=""/>
      <w:lvlJc w:val="left"/>
      <w:pPr>
        <w:tabs>
          <w:tab w:val="num" w:pos="720"/>
        </w:tabs>
        <w:ind w:left="720" w:hanging="360"/>
      </w:pPr>
      <w:rPr>
        <w:rFonts w:ascii="Wingdings" w:hAnsi="Wingdings" w:hint="default"/>
      </w:rPr>
    </w:lvl>
    <w:lvl w:ilvl="1" w:tplc="45EAACC6" w:tentative="1">
      <w:start w:val="1"/>
      <w:numFmt w:val="bullet"/>
      <w:lvlText w:val=""/>
      <w:lvlJc w:val="left"/>
      <w:pPr>
        <w:tabs>
          <w:tab w:val="num" w:pos="1440"/>
        </w:tabs>
        <w:ind w:left="1440" w:hanging="360"/>
      </w:pPr>
      <w:rPr>
        <w:rFonts w:ascii="Wingdings" w:hAnsi="Wingdings" w:hint="default"/>
      </w:rPr>
    </w:lvl>
    <w:lvl w:ilvl="2" w:tplc="BCDA831A" w:tentative="1">
      <w:start w:val="1"/>
      <w:numFmt w:val="bullet"/>
      <w:lvlText w:val=""/>
      <w:lvlJc w:val="left"/>
      <w:pPr>
        <w:tabs>
          <w:tab w:val="num" w:pos="2160"/>
        </w:tabs>
        <w:ind w:left="2160" w:hanging="360"/>
      </w:pPr>
      <w:rPr>
        <w:rFonts w:ascii="Wingdings" w:hAnsi="Wingdings" w:hint="default"/>
      </w:rPr>
    </w:lvl>
    <w:lvl w:ilvl="3" w:tplc="0AF4B6CC" w:tentative="1">
      <w:start w:val="1"/>
      <w:numFmt w:val="bullet"/>
      <w:lvlText w:val=""/>
      <w:lvlJc w:val="left"/>
      <w:pPr>
        <w:tabs>
          <w:tab w:val="num" w:pos="2880"/>
        </w:tabs>
        <w:ind w:left="2880" w:hanging="360"/>
      </w:pPr>
      <w:rPr>
        <w:rFonts w:ascii="Wingdings" w:hAnsi="Wingdings" w:hint="default"/>
      </w:rPr>
    </w:lvl>
    <w:lvl w:ilvl="4" w:tplc="3C0C1C26" w:tentative="1">
      <w:start w:val="1"/>
      <w:numFmt w:val="bullet"/>
      <w:lvlText w:val=""/>
      <w:lvlJc w:val="left"/>
      <w:pPr>
        <w:tabs>
          <w:tab w:val="num" w:pos="3600"/>
        </w:tabs>
        <w:ind w:left="3600" w:hanging="360"/>
      </w:pPr>
      <w:rPr>
        <w:rFonts w:ascii="Wingdings" w:hAnsi="Wingdings" w:hint="default"/>
      </w:rPr>
    </w:lvl>
    <w:lvl w:ilvl="5" w:tplc="4BE27DDE" w:tentative="1">
      <w:start w:val="1"/>
      <w:numFmt w:val="bullet"/>
      <w:lvlText w:val=""/>
      <w:lvlJc w:val="left"/>
      <w:pPr>
        <w:tabs>
          <w:tab w:val="num" w:pos="4320"/>
        </w:tabs>
        <w:ind w:left="4320" w:hanging="360"/>
      </w:pPr>
      <w:rPr>
        <w:rFonts w:ascii="Wingdings" w:hAnsi="Wingdings" w:hint="default"/>
      </w:rPr>
    </w:lvl>
    <w:lvl w:ilvl="6" w:tplc="32204D6E" w:tentative="1">
      <w:start w:val="1"/>
      <w:numFmt w:val="bullet"/>
      <w:lvlText w:val=""/>
      <w:lvlJc w:val="left"/>
      <w:pPr>
        <w:tabs>
          <w:tab w:val="num" w:pos="5040"/>
        </w:tabs>
        <w:ind w:left="5040" w:hanging="360"/>
      </w:pPr>
      <w:rPr>
        <w:rFonts w:ascii="Wingdings" w:hAnsi="Wingdings" w:hint="default"/>
      </w:rPr>
    </w:lvl>
    <w:lvl w:ilvl="7" w:tplc="D4D6D080" w:tentative="1">
      <w:start w:val="1"/>
      <w:numFmt w:val="bullet"/>
      <w:lvlText w:val=""/>
      <w:lvlJc w:val="left"/>
      <w:pPr>
        <w:tabs>
          <w:tab w:val="num" w:pos="5760"/>
        </w:tabs>
        <w:ind w:left="5760" w:hanging="360"/>
      </w:pPr>
      <w:rPr>
        <w:rFonts w:ascii="Wingdings" w:hAnsi="Wingdings" w:hint="default"/>
      </w:rPr>
    </w:lvl>
    <w:lvl w:ilvl="8" w:tplc="5CAEE4F4" w:tentative="1">
      <w:start w:val="1"/>
      <w:numFmt w:val="bullet"/>
      <w:lvlText w:val=""/>
      <w:lvlJc w:val="left"/>
      <w:pPr>
        <w:tabs>
          <w:tab w:val="num" w:pos="6480"/>
        </w:tabs>
        <w:ind w:left="6480" w:hanging="360"/>
      </w:pPr>
      <w:rPr>
        <w:rFonts w:ascii="Wingdings" w:hAnsi="Wingdings" w:hint="default"/>
      </w:rPr>
    </w:lvl>
  </w:abstractNum>
  <w:abstractNum w:abstractNumId="3">
    <w:nsid w:val="0C955B5D"/>
    <w:multiLevelType w:val="hybridMultilevel"/>
    <w:tmpl w:val="B5D066AE"/>
    <w:lvl w:ilvl="0" w:tplc="8E8039A4">
      <w:start w:val="1"/>
      <w:numFmt w:val="decimal"/>
      <w:lvlText w:val="%1."/>
      <w:lvlJc w:val="left"/>
      <w:pPr>
        <w:ind w:left="1080" w:hanging="360"/>
      </w:pPr>
      <w:rPr>
        <w:rFonts w:hint="default"/>
        <w:outline w:val="0"/>
        <w:shadow w:val="0"/>
        <w:emboss/>
        <w:imprint w:val="0"/>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F902D73"/>
    <w:multiLevelType w:val="hybridMultilevel"/>
    <w:tmpl w:val="2DD6CE04"/>
    <w:lvl w:ilvl="0" w:tplc="CF66162C">
      <w:start w:val="1"/>
      <w:numFmt w:val="bullet"/>
      <w:lvlText w:val=""/>
      <w:lvlJc w:val="left"/>
      <w:pPr>
        <w:tabs>
          <w:tab w:val="num" w:pos="720"/>
        </w:tabs>
        <w:ind w:left="720" w:hanging="360"/>
      </w:pPr>
      <w:rPr>
        <w:rFonts w:ascii="Wingdings" w:hAnsi="Wingdings" w:hint="default"/>
      </w:rPr>
    </w:lvl>
    <w:lvl w:ilvl="1" w:tplc="D4B474D8" w:tentative="1">
      <w:start w:val="1"/>
      <w:numFmt w:val="bullet"/>
      <w:lvlText w:val=""/>
      <w:lvlJc w:val="left"/>
      <w:pPr>
        <w:tabs>
          <w:tab w:val="num" w:pos="1440"/>
        </w:tabs>
        <w:ind w:left="1440" w:hanging="360"/>
      </w:pPr>
      <w:rPr>
        <w:rFonts w:ascii="Wingdings" w:hAnsi="Wingdings" w:hint="default"/>
      </w:rPr>
    </w:lvl>
    <w:lvl w:ilvl="2" w:tplc="0E7CE926" w:tentative="1">
      <w:start w:val="1"/>
      <w:numFmt w:val="bullet"/>
      <w:lvlText w:val=""/>
      <w:lvlJc w:val="left"/>
      <w:pPr>
        <w:tabs>
          <w:tab w:val="num" w:pos="2160"/>
        </w:tabs>
        <w:ind w:left="2160" w:hanging="360"/>
      </w:pPr>
      <w:rPr>
        <w:rFonts w:ascii="Wingdings" w:hAnsi="Wingdings" w:hint="default"/>
      </w:rPr>
    </w:lvl>
    <w:lvl w:ilvl="3" w:tplc="E612DB58" w:tentative="1">
      <w:start w:val="1"/>
      <w:numFmt w:val="bullet"/>
      <w:lvlText w:val=""/>
      <w:lvlJc w:val="left"/>
      <w:pPr>
        <w:tabs>
          <w:tab w:val="num" w:pos="2880"/>
        </w:tabs>
        <w:ind w:left="2880" w:hanging="360"/>
      </w:pPr>
      <w:rPr>
        <w:rFonts w:ascii="Wingdings" w:hAnsi="Wingdings" w:hint="default"/>
      </w:rPr>
    </w:lvl>
    <w:lvl w:ilvl="4" w:tplc="802A59EC" w:tentative="1">
      <w:start w:val="1"/>
      <w:numFmt w:val="bullet"/>
      <w:lvlText w:val=""/>
      <w:lvlJc w:val="left"/>
      <w:pPr>
        <w:tabs>
          <w:tab w:val="num" w:pos="3600"/>
        </w:tabs>
        <w:ind w:left="3600" w:hanging="360"/>
      </w:pPr>
      <w:rPr>
        <w:rFonts w:ascii="Wingdings" w:hAnsi="Wingdings" w:hint="default"/>
      </w:rPr>
    </w:lvl>
    <w:lvl w:ilvl="5" w:tplc="48C03C94" w:tentative="1">
      <w:start w:val="1"/>
      <w:numFmt w:val="bullet"/>
      <w:lvlText w:val=""/>
      <w:lvlJc w:val="left"/>
      <w:pPr>
        <w:tabs>
          <w:tab w:val="num" w:pos="4320"/>
        </w:tabs>
        <w:ind w:left="4320" w:hanging="360"/>
      </w:pPr>
      <w:rPr>
        <w:rFonts w:ascii="Wingdings" w:hAnsi="Wingdings" w:hint="default"/>
      </w:rPr>
    </w:lvl>
    <w:lvl w:ilvl="6" w:tplc="4D90F6C8" w:tentative="1">
      <w:start w:val="1"/>
      <w:numFmt w:val="bullet"/>
      <w:lvlText w:val=""/>
      <w:lvlJc w:val="left"/>
      <w:pPr>
        <w:tabs>
          <w:tab w:val="num" w:pos="5040"/>
        </w:tabs>
        <w:ind w:left="5040" w:hanging="360"/>
      </w:pPr>
      <w:rPr>
        <w:rFonts w:ascii="Wingdings" w:hAnsi="Wingdings" w:hint="default"/>
      </w:rPr>
    </w:lvl>
    <w:lvl w:ilvl="7" w:tplc="DF2664E6" w:tentative="1">
      <w:start w:val="1"/>
      <w:numFmt w:val="bullet"/>
      <w:lvlText w:val=""/>
      <w:lvlJc w:val="left"/>
      <w:pPr>
        <w:tabs>
          <w:tab w:val="num" w:pos="5760"/>
        </w:tabs>
        <w:ind w:left="5760" w:hanging="360"/>
      </w:pPr>
      <w:rPr>
        <w:rFonts w:ascii="Wingdings" w:hAnsi="Wingdings" w:hint="default"/>
      </w:rPr>
    </w:lvl>
    <w:lvl w:ilvl="8" w:tplc="201C2F7E" w:tentative="1">
      <w:start w:val="1"/>
      <w:numFmt w:val="bullet"/>
      <w:lvlText w:val=""/>
      <w:lvlJc w:val="left"/>
      <w:pPr>
        <w:tabs>
          <w:tab w:val="num" w:pos="6480"/>
        </w:tabs>
        <w:ind w:left="6480" w:hanging="360"/>
      </w:pPr>
      <w:rPr>
        <w:rFonts w:ascii="Wingdings" w:hAnsi="Wingdings" w:hint="default"/>
      </w:rPr>
    </w:lvl>
  </w:abstractNum>
  <w:abstractNum w:abstractNumId="5">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6">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A4551A"/>
    <w:multiLevelType w:val="hybridMultilevel"/>
    <w:tmpl w:val="CC3A4B10"/>
    <w:lvl w:ilvl="0" w:tplc="8E8039A4">
      <w:start w:val="1"/>
      <w:numFmt w:val="decimal"/>
      <w:lvlText w:val="%1."/>
      <w:lvlJc w:val="left"/>
      <w:pPr>
        <w:ind w:left="1080" w:hanging="360"/>
      </w:pPr>
      <w:rPr>
        <w:rFonts w:hint="default"/>
        <w:outline w:val="0"/>
        <w:shadow w:val="0"/>
        <w:emboss/>
        <w:imprint w:val="0"/>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B2B4829"/>
    <w:multiLevelType w:val="hybridMultilevel"/>
    <w:tmpl w:val="30EE7C3A"/>
    <w:lvl w:ilvl="0" w:tplc="9A4AB11E">
      <w:start w:val="1"/>
      <w:numFmt w:val="decimal"/>
      <w:lvlText w:val="%1."/>
      <w:lvlJc w:val="left"/>
      <w:pPr>
        <w:ind w:left="1080" w:hanging="360"/>
      </w:pPr>
      <w:rPr>
        <w:rFonts w:hint="default"/>
        <w:outline w:val="0"/>
        <w:shadow w:val="0"/>
        <w:emboss/>
        <w:imprint w:val="0"/>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8A143D3"/>
    <w:multiLevelType w:val="hybridMultilevel"/>
    <w:tmpl w:val="4ED84B4A"/>
    <w:lvl w:ilvl="0" w:tplc="8E8039A4">
      <w:start w:val="1"/>
      <w:numFmt w:val="decimal"/>
      <w:lvlText w:val="%1."/>
      <w:lvlJc w:val="left"/>
      <w:pPr>
        <w:ind w:left="1080" w:hanging="360"/>
      </w:pPr>
      <w:rPr>
        <w:rFonts w:hint="default"/>
        <w:outline w:val="0"/>
        <w:shadow w:val="0"/>
        <w:emboss/>
        <w:imprint w:val="0"/>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C402C58"/>
    <w:multiLevelType w:val="hybridMultilevel"/>
    <w:tmpl w:val="9A1CA078"/>
    <w:lvl w:ilvl="0" w:tplc="0809000F">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4">
    <w:nsid w:val="7BAA0EA0"/>
    <w:multiLevelType w:val="hybridMultilevel"/>
    <w:tmpl w:val="8286BECE"/>
    <w:lvl w:ilvl="0" w:tplc="624EE95C">
      <w:start w:val="1"/>
      <w:numFmt w:val="decimal"/>
      <w:lvlText w:val="[%1]"/>
      <w:lvlJc w:val="left"/>
      <w:pPr>
        <w:ind w:left="1004" w:hanging="360"/>
      </w:pPr>
      <w:rPr>
        <w:rFonts w:hint="default"/>
        <w:sz w:val="20"/>
        <w:vertAlign w:val="baseline"/>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7BAE16A5"/>
    <w:multiLevelType w:val="hybridMultilevel"/>
    <w:tmpl w:val="DD801688"/>
    <w:lvl w:ilvl="0" w:tplc="C80E345A">
      <w:start w:val="1"/>
      <w:numFmt w:val="bullet"/>
      <w:lvlText w:val=""/>
      <w:lvlJc w:val="left"/>
      <w:pPr>
        <w:ind w:left="1287" w:hanging="360"/>
      </w:pPr>
      <w:rPr>
        <w:rFonts w:ascii="Symbol" w:hAnsi="Symbol" w:hint="default"/>
      </w:rPr>
    </w:lvl>
    <w:lvl w:ilvl="1" w:tplc="DE30858E" w:tentative="1">
      <w:start w:val="1"/>
      <w:numFmt w:val="lowerLetter"/>
      <w:lvlText w:val="%2."/>
      <w:lvlJc w:val="left"/>
      <w:pPr>
        <w:ind w:left="2007" w:hanging="360"/>
      </w:pPr>
    </w:lvl>
    <w:lvl w:ilvl="2" w:tplc="2FF2CB30" w:tentative="1">
      <w:start w:val="1"/>
      <w:numFmt w:val="lowerRoman"/>
      <w:lvlText w:val="%3."/>
      <w:lvlJc w:val="right"/>
      <w:pPr>
        <w:ind w:left="2727" w:hanging="180"/>
      </w:pPr>
    </w:lvl>
    <w:lvl w:ilvl="3" w:tplc="8A267EFE" w:tentative="1">
      <w:start w:val="1"/>
      <w:numFmt w:val="decimal"/>
      <w:lvlText w:val="%4."/>
      <w:lvlJc w:val="left"/>
      <w:pPr>
        <w:ind w:left="3447" w:hanging="360"/>
      </w:pPr>
    </w:lvl>
    <w:lvl w:ilvl="4" w:tplc="6F3A9BC6" w:tentative="1">
      <w:start w:val="1"/>
      <w:numFmt w:val="lowerLetter"/>
      <w:lvlText w:val="%5."/>
      <w:lvlJc w:val="left"/>
      <w:pPr>
        <w:ind w:left="4167" w:hanging="360"/>
      </w:pPr>
    </w:lvl>
    <w:lvl w:ilvl="5" w:tplc="75F4AD9C" w:tentative="1">
      <w:start w:val="1"/>
      <w:numFmt w:val="lowerRoman"/>
      <w:lvlText w:val="%6."/>
      <w:lvlJc w:val="right"/>
      <w:pPr>
        <w:ind w:left="4887" w:hanging="180"/>
      </w:pPr>
    </w:lvl>
    <w:lvl w:ilvl="6" w:tplc="B042463E" w:tentative="1">
      <w:start w:val="1"/>
      <w:numFmt w:val="decimal"/>
      <w:lvlText w:val="%7."/>
      <w:lvlJc w:val="left"/>
      <w:pPr>
        <w:ind w:left="5607" w:hanging="360"/>
      </w:pPr>
    </w:lvl>
    <w:lvl w:ilvl="7" w:tplc="3336127A" w:tentative="1">
      <w:start w:val="1"/>
      <w:numFmt w:val="lowerLetter"/>
      <w:lvlText w:val="%8."/>
      <w:lvlJc w:val="left"/>
      <w:pPr>
        <w:ind w:left="6327" w:hanging="360"/>
      </w:pPr>
    </w:lvl>
    <w:lvl w:ilvl="8" w:tplc="2BC443A2" w:tentative="1">
      <w:start w:val="1"/>
      <w:numFmt w:val="lowerRoman"/>
      <w:lvlText w:val="%9."/>
      <w:lvlJc w:val="right"/>
      <w:pPr>
        <w:ind w:left="7047" w:hanging="180"/>
      </w:pPr>
    </w:lvl>
  </w:abstractNum>
  <w:abstractNum w:abstractNumId="16">
    <w:nsid w:val="7F1B708F"/>
    <w:multiLevelType w:val="hybridMultilevel"/>
    <w:tmpl w:val="DE086EB0"/>
    <w:lvl w:ilvl="0" w:tplc="9A4AB11E">
      <w:start w:val="1"/>
      <w:numFmt w:val="decimal"/>
      <w:lvlText w:val="%1."/>
      <w:lvlJc w:val="left"/>
      <w:pPr>
        <w:ind w:left="1080" w:hanging="360"/>
      </w:pPr>
      <w:rPr>
        <w:rFonts w:hint="default"/>
        <w:outline w:val="0"/>
        <w:shadow w:val="0"/>
        <w:emboss/>
        <w:imprint w:val="0"/>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6"/>
  </w:num>
  <w:num w:numId="3">
    <w:abstractNumId w:val="13"/>
  </w:num>
  <w:num w:numId="4">
    <w:abstractNumId w:val="4"/>
  </w:num>
  <w:num w:numId="5">
    <w:abstractNumId w:val="12"/>
  </w:num>
  <w:num w:numId="6">
    <w:abstractNumId w:val="15"/>
  </w:num>
  <w:num w:numId="7">
    <w:abstractNumId w:val="2"/>
  </w:num>
  <w:num w:numId="8">
    <w:abstractNumId w:val="9"/>
  </w:num>
  <w:num w:numId="9">
    <w:abstractNumId w:val="1"/>
  </w:num>
  <w:num w:numId="10">
    <w:abstractNumId w:val="8"/>
  </w:num>
  <w:num w:numId="11">
    <w:abstractNumId w:val="11"/>
  </w:num>
  <w:num w:numId="12">
    <w:abstractNumId w:val="10"/>
  </w:num>
  <w:num w:numId="13">
    <w:abstractNumId w:val="16"/>
  </w:num>
  <w:num w:numId="14">
    <w:abstractNumId w:val="3"/>
  </w:num>
  <w:num w:numId="15">
    <w:abstractNumId w:val="0"/>
  </w:num>
  <w:num w:numId="16">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intPostScriptOverText/>
  <w:embedSystemFonts/>
  <w:proofState w:spelling="clean"/>
  <w:attachedTemplate r:id="rId1"/>
  <w:stylePaneFormatFilter w:val="3801"/>
  <w:defaultTabStop w:val="720"/>
  <w:displayHorizontalDrawingGridEvery w:val="0"/>
  <w:displayVerticalDrawingGridEvery w:val="0"/>
  <w:doNotUseMarginsForDrawingGridOrigin/>
  <w:noPunctuationKerning/>
  <w:characterSpacingControl w:val="doNotCompress"/>
  <w:savePreviewPicture/>
  <w:compat/>
  <w:rsids>
    <w:rsidRoot w:val="008248F1"/>
    <w:rsid w:val="00014140"/>
    <w:rsid w:val="000238F2"/>
    <w:rsid w:val="00031EC9"/>
    <w:rsid w:val="00040369"/>
    <w:rsid w:val="00066FED"/>
    <w:rsid w:val="00075EA6"/>
    <w:rsid w:val="0007709F"/>
    <w:rsid w:val="00086F62"/>
    <w:rsid w:val="0009320B"/>
    <w:rsid w:val="00096210"/>
    <w:rsid w:val="00096AE0"/>
    <w:rsid w:val="000B1B74"/>
    <w:rsid w:val="000B3A2D"/>
    <w:rsid w:val="000B49C0"/>
    <w:rsid w:val="000C12A1"/>
    <w:rsid w:val="000E382F"/>
    <w:rsid w:val="001036BA"/>
    <w:rsid w:val="001146DC"/>
    <w:rsid w:val="00114AB1"/>
    <w:rsid w:val="001230FF"/>
    <w:rsid w:val="00130BD7"/>
    <w:rsid w:val="00155B67"/>
    <w:rsid w:val="001562AF"/>
    <w:rsid w:val="00161A5B"/>
    <w:rsid w:val="001627BF"/>
    <w:rsid w:val="0016385D"/>
    <w:rsid w:val="0016782F"/>
    <w:rsid w:val="00167AB5"/>
    <w:rsid w:val="001937E9"/>
    <w:rsid w:val="001B263B"/>
    <w:rsid w:val="001B476A"/>
    <w:rsid w:val="001C764F"/>
    <w:rsid w:val="001C7BB3"/>
    <w:rsid w:val="001D01E9"/>
    <w:rsid w:val="001D1EEC"/>
    <w:rsid w:val="001D469C"/>
    <w:rsid w:val="00224CE0"/>
    <w:rsid w:val="002262F8"/>
    <w:rsid w:val="0022762D"/>
    <w:rsid w:val="0023171B"/>
    <w:rsid w:val="00236BFC"/>
    <w:rsid w:val="00237437"/>
    <w:rsid w:val="002502FD"/>
    <w:rsid w:val="00274622"/>
    <w:rsid w:val="00276266"/>
    <w:rsid w:val="00285D24"/>
    <w:rsid w:val="00290390"/>
    <w:rsid w:val="002915D3"/>
    <w:rsid w:val="002941DA"/>
    <w:rsid w:val="002E3C35"/>
    <w:rsid w:val="002F5298"/>
    <w:rsid w:val="00337E4F"/>
    <w:rsid w:val="00340C36"/>
    <w:rsid w:val="00346A9D"/>
    <w:rsid w:val="0039376F"/>
    <w:rsid w:val="003A287B"/>
    <w:rsid w:val="003A5C85"/>
    <w:rsid w:val="003A61B1"/>
    <w:rsid w:val="003B1EF7"/>
    <w:rsid w:val="003E7C74"/>
    <w:rsid w:val="003F31C6"/>
    <w:rsid w:val="0040225B"/>
    <w:rsid w:val="00402DA2"/>
    <w:rsid w:val="00425AC2"/>
    <w:rsid w:val="0044771F"/>
    <w:rsid w:val="004B151D"/>
    <w:rsid w:val="004C7243"/>
    <w:rsid w:val="004D73C0"/>
    <w:rsid w:val="004E21DE"/>
    <w:rsid w:val="004E3C57"/>
    <w:rsid w:val="004E3CB2"/>
    <w:rsid w:val="00502B6C"/>
    <w:rsid w:val="00525813"/>
    <w:rsid w:val="0053513F"/>
    <w:rsid w:val="00574405"/>
    <w:rsid w:val="005A0E21"/>
    <w:rsid w:val="005A576A"/>
    <w:rsid w:val="005B3A34"/>
    <w:rsid w:val="005B47DB"/>
    <w:rsid w:val="005D49AF"/>
    <w:rsid w:val="005E415C"/>
    <w:rsid w:val="005E7946"/>
    <w:rsid w:val="005F7475"/>
    <w:rsid w:val="00611299"/>
    <w:rsid w:val="00616365"/>
    <w:rsid w:val="00616F3B"/>
    <w:rsid w:val="00617709"/>
    <w:rsid w:val="006249A7"/>
    <w:rsid w:val="00632F45"/>
    <w:rsid w:val="0064225B"/>
    <w:rsid w:val="00670880"/>
    <w:rsid w:val="006949BC"/>
    <w:rsid w:val="006D1229"/>
    <w:rsid w:val="006D7A18"/>
    <w:rsid w:val="00723B7F"/>
    <w:rsid w:val="00724200"/>
    <w:rsid w:val="00725861"/>
    <w:rsid w:val="0073393A"/>
    <w:rsid w:val="0073539D"/>
    <w:rsid w:val="0074215C"/>
    <w:rsid w:val="00767B8A"/>
    <w:rsid w:val="00775481"/>
    <w:rsid w:val="007A233B"/>
    <w:rsid w:val="007B4863"/>
    <w:rsid w:val="007C3069"/>
    <w:rsid w:val="007C65E6"/>
    <w:rsid w:val="007D406B"/>
    <w:rsid w:val="007D4407"/>
    <w:rsid w:val="007E1CA3"/>
    <w:rsid w:val="00821713"/>
    <w:rsid w:val="008248F1"/>
    <w:rsid w:val="00827050"/>
    <w:rsid w:val="0083278B"/>
    <w:rsid w:val="00834538"/>
    <w:rsid w:val="00850E89"/>
    <w:rsid w:val="008834B5"/>
    <w:rsid w:val="008930E4"/>
    <w:rsid w:val="00893821"/>
    <w:rsid w:val="00896A32"/>
    <w:rsid w:val="008A7B9C"/>
    <w:rsid w:val="008B4754"/>
    <w:rsid w:val="008E6A7A"/>
    <w:rsid w:val="008F1038"/>
    <w:rsid w:val="008F7046"/>
    <w:rsid w:val="009005FC"/>
    <w:rsid w:val="0091162C"/>
    <w:rsid w:val="0093410B"/>
    <w:rsid w:val="00943315"/>
    <w:rsid w:val="00947362"/>
    <w:rsid w:val="009B696B"/>
    <w:rsid w:val="009B7671"/>
    <w:rsid w:val="009E574C"/>
    <w:rsid w:val="009F056E"/>
    <w:rsid w:val="00A26DCD"/>
    <w:rsid w:val="00A314BB"/>
    <w:rsid w:val="00A32B7D"/>
    <w:rsid w:val="00A37C29"/>
    <w:rsid w:val="00A413DA"/>
    <w:rsid w:val="00A45775"/>
    <w:rsid w:val="00A5596B"/>
    <w:rsid w:val="00A646B3"/>
    <w:rsid w:val="00A6739B"/>
    <w:rsid w:val="00A90413"/>
    <w:rsid w:val="00A966CE"/>
    <w:rsid w:val="00AB0A9C"/>
    <w:rsid w:val="00AB7119"/>
    <w:rsid w:val="00AD5855"/>
    <w:rsid w:val="00AE7500"/>
    <w:rsid w:val="00AE7F87"/>
    <w:rsid w:val="00AF3542"/>
    <w:rsid w:val="00AF5ABE"/>
    <w:rsid w:val="00B00415"/>
    <w:rsid w:val="00B066A4"/>
    <w:rsid w:val="00B1000D"/>
    <w:rsid w:val="00B10134"/>
    <w:rsid w:val="00B16BFE"/>
    <w:rsid w:val="00B228A4"/>
    <w:rsid w:val="00B33425"/>
    <w:rsid w:val="00B500E5"/>
    <w:rsid w:val="00B85CF6"/>
    <w:rsid w:val="00BA39BB"/>
    <w:rsid w:val="00BA3B3D"/>
    <w:rsid w:val="00BD1909"/>
    <w:rsid w:val="00BE5E16"/>
    <w:rsid w:val="00BE5FD1"/>
    <w:rsid w:val="00BF2E93"/>
    <w:rsid w:val="00C06E05"/>
    <w:rsid w:val="00C17370"/>
    <w:rsid w:val="00C26EC0"/>
    <w:rsid w:val="00C56C77"/>
    <w:rsid w:val="00C92F7F"/>
    <w:rsid w:val="00CB53CE"/>
    <w:rsid w:val="00CB7B3E"/>
    <w:rsid w:val="00CC130B"/>
    <w:rsid w:val="00CC739D"/>
    <w:rsid w:val="00D04468"/>
    <w:rsid w:val="00D36257"/>
    <w:rsid w:val="00D4687E"/>
    <w:rsid w:val="00D53A12"/>
    <w:rsid w:val="00D71E36"/>
    <w:rsid w:val="00DB0C43"/>
    <w:rsid w:val="00DE3354"/>
    <w:rsid w:val="00DF7DCD"/>
    <w:rsid w:val="00EB7D28"/>
    <w:rsid w:val="00EC0D0C"/>
    <w:rsid w:val="00ED4A2C"/>
    <w:rsid w:val="00EF6940"/>
    <w:rsid w:val="00F133E7"/>
    <w:rsid w:val="00F2044A"/>
    <w:rsid w:val="00F20BFC"/>
    <w:rsid w:val="00F24D5F"/>
    <w:rsid w:val="00F3260A"/>
    <w:rsid w:val="00F45CCE"/>
    <w:rsid w:val="00F726C3"/>
    <w:rsid w:val="00F8554C"/>
    <w:rsid w:val="00F97A90"/>
    <w:rsid w:val="00FB34A1"/>
    <w:rsid w:val="00FC2F35"/>
    <w:rsid w:val="00FC3FD7"/>
    <w:rsid w:val="00FC6BFB"/>
    <w:rsid w:val="00FD1FC6"/>
    <w:rsid w:val="00FE58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4E3CB2"/>
    <w:rPr>
      <w:sz w:val="24"/>
      <w:lang w:val="en-US" w:eastAsia="en-US"/>
    </w:rPr>
  </w:style>
  <w:style w:type="paragraph" w:styleId="1">
    <w:name w:val="heading 1"/>
    <w:basedOn w:val="a"/>
    <w:next w:val="Paragraph"/>
    <w:qFormat/>
    <w:rsid w:val="005B47DB"/>
    <w:pPr>
      <w:keepNext/>
      <w:spacing w:before="240" w:after="240"/>
      <w:jc w:val="center"/>
      <w:outlineLvl w:val="0"/>
    </w:pPr>
    <w:rPr>
      <w:b/>
      <w:caps/>
    </w:rPr>
  </w:style>
  <w:style w:type="paragraph" w:styleId="2">
    <w:name w:val="heading 2"/>
    <w:basedOn w:val="a"/>
    <w:next w:val="Paragraph"/>
    <w:qFormat/>
    <w:rsid w:val="005B47DB"/>
    <w:pPr>
      <w:keepNext/>
      <w:spacing w:before="240" w:after="240"/>
      <w:jc w:val="center"/>
      <w:outlineLvl w:val="1"/>
    </w:pPr>
    <w:rPr>
      <w:b/>
    </w:rPr>
  </w:style>
  <w:style w:type="paragraph" w:styleId="3">
    <w:name w:val="heading 3"/>
    <w:basedOn w:val="a"/>
    <w:next w:val="a"/>
    <w:qFormat/>
    <w:rsid w:val="005B47DB"/>
    <w:pPr>
      <w:keepNext/>
      <w:spacing w:before="240" w:after="240"/>
      <w:jc w:val="center"/>
      <w:outlineLvl w:val="2"/>
    </w:pPr>
    <w:rPr>
      <w:i/>
      <w:sz w:val="20"/>
    </w:rPr>
  </w:style>
  <w:style w:type="paragraph" w:styleId="4">
    <w:name w:val="heading 4"/>
    <w:basedOn w:val="a"/>
    <w:next w:val="a"/>
    <w:link w:val="40"/>
    <w:qFormat/>
    <w:rsid w:val="001627BF"/>
    <w:pPr>
      <w:tabs>
        <w:tab w:val="num" w:pos="630"/>
        <w:tab w:val="left" w:pos="720"/>
      </w:tabs>
      <w:spacing w:before="40" w:after="40"/>
      <w:ind w:firstLine="360"/>
      <w:jc w:val="both"/>
      <w:outlineLvl w:val="3"/>
    </w:pPr>
    <w:rPr>
      <w:rFonts w:eastAsia="SimSun"/>
      <w:i/>
      <w:iCs/>
      <w:noProof/>
      <w:sz w:val="20"/>
    </w:rPr>
  </w:style>
  <w:style w:type="paragraph" w:styleId="5">
    <w:name w:val="heading 5"/>
    <w:basedOn w:val="a"/>
    <w:next w:val="a"/>
    <w:link w:val="50"/>
    <w:semiHidden/>
    <w:unhideWhenUsed/>
    <w:qFormat/>
    <w:rsid w:val="001627BF"/>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5B47DB"/>
    <w:rPr>
      <w:sz w:val="16"/>
    </w:rPr>
  </w:style>
  <w:style w:type="paragraph" w:customStyle="1" w:styleId="PaperTitle">
    <w:name w:val="Paper Title"/>
    <w:basedOn w:val="a"/>
    <w:next w:val="AuthorName"/>
    <w:rsid w:val="005B47DB"/>
    <w:pPr>
      <w:spacing w:before="1200"/>
      <w:jc w:val="center"/>
    </w:pPr>
    <w:rPr>
      <w:b/>
      <w:sz w:val="36"/>
    </w:rPr>
  </w:style>
  <w:style w:type="paragraph" w:customStyle="1" w:styleId="AuthorName">
    <w:name w:val="Author Name"/>
    <w:basedOn w:val="a"/>
    <w:next w:val="AuthorAffiliation"/>
    <w:rsid w:val="005B47DB"/>
    <w:pPr>
      <w:spacing w:before="360" w:after="360"/>
      <w:jc w:val="center"/>
    </w:pPr>
    <w:rPr>
      <w:sz w:val="28"/>
    </w:rPr>
  </w:style>
  <w:style w:type="paragraph" w:customStyle="1" w:styleId="AuthorAffiliation">
    <w:name w:val="Author Affiliation"/>
    <w:basedOn w:val="a"/>
    <w:rsid w:val="005B47DB"/>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sid w:val="005B47DB"/>
    <w:rPr>
      <w:vertAlign w:val="superscript"/>
    </w:rPr>
  </w:style>
  <w:style w:type="paragraph" w:customStyle="1" w:styleId="Reference">
    <w:name w:val="Reference"/>
    <w:basedOn w:val="Paragraph"/>
    <w:rsid w:val="00AE7500"/>
    <w:pPr>
      <w:numPr>
        <w:numId w:val="1"/>
      </w:numPr>
    </w:pPr>
  </w:style>
  <w:style w:type="paragraph" w:customStyle="1" w:styleId="FigureCaption0">
    <w:name w:val="Figure Caption"/>
    <w:next w:val="Paragraph"/>
    <w:rsid w:val="00161A5B"/>
    <w:pPr>
      <w:spacing w:before="120"/>
      <w:jc w:val="center"/>
    </w:pPr>
    <w:rPr>
      <w:sz w:val="18"/>
      <w:lang w:val="en-US" w:eastAsia="en-US"/>
    </w:rPr>
  </w:style>
  <w:style w:type="paragraph" w:customStyle="1" w:styleId="Figure">
    <w:name w:val="Figure"/>
    <w:basedOn w:val="Paragraph"/>
    <w:rsid w:val="005B47DB"/>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sid w:val="005B47DB"/>
    <w:rPr>
      <w:color w:val="0000FF"/>
      <w:u w:val="single"/>
    </w:rPr>
  </w:style>
  <w:style w:type="table" w:styleId="a8">
    <w:name w:val="Table Grid"/>
    <w:basedOn w:val="a1"/>
    <w:rsid w:val="0064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0"/>
    <w:qFormat/>
    <w:rsid w:val="005A0E21"/>
    <w:rPr>
      <w:szCs w:val="18"/>
    </w:rPr>
  </w:style>
  <w:style w:type="paragraph" w:customStyle="1" w:styleId="Paragraphnumbered">
    <w:name w:val="Paragraph (numbered)"/>
    <w:rsid w:val="000B49C0"/>
    <w:pPr>
      <w:numPr>
        <w:numId w:val="3"/>
      </w:numPr>
      <w:jc w:val="both"/>
    </w:pPr>
    <w:rPr>
      <w:lang w:val="en-US" w:eastAsia="en-US"/>
    </w:rPr>
  </w:style>
  <w:style w:type="paragraph" w:styleId="ac">
    <w:name w:val="Body Text"/>
    <w:basedOn w:val="a"/>
    <w:link w:val="ad"/>
    <w:rsid w:val="000C12A1"/>
    <w:pPr>
      <w:tabs>
        <w:tab w:val="left" w:pos="288"/>
      </w:tabs>
      <w:spacing w:after="120" w:line="228" w:lineRule="auto"/>
      <w:ind w:firstLine="288"/>
      <w:jc w:val="both"/>
    </w:pPr>
    <w:rPr>
      <w:rFonts w:eastAsia="SimSun"/>
      <w:spacing w:val="-1"/>
      <w:sz w:val="20"/>
    </w:rPr>
  </w:style>
  <w:style w:type="character" w:customStyle="1" w:styleId="ad">
    <w:name w:val="Основной текст Знак"/>
    <w:basedOn w:val="a0"/>
    <w:link w:val="ac"/>
    <w:rsid w:val="000C12A1"/>
    <w:rPr>
      <w:rFonts w:eastAsia="SimSun"/>
      <w:spacing w:val="-1"/>
    </w:rPr>
  </w:style>
  <w:style w:type="paragraph" w:customStyle="1" w:styleId="figurecaption">
    <w:name w:val="figure caption"/>
    <w:rsid w:val="000C12A1"/>
    <w:pPr>
      <w:numPr>
        <w:numId w:val="5"/>
      </w:numPr>
      <w:tabs>
        <w:tab w:val="left" w:pos="533"/>
      </w:tabs>
      <w:spacing w:before="80" w:after="200"/>
      <w:jc w:val="both"/>
    </w:pPr>
    <w:rPr>
      <w:rFonts w:eastAsia="SimSun"/>
      <w:noProof/>
      <w:sz w:val="16"/>
      <w:szCs w:val="16"/>
      <w:lang w:val="en-US" w:eastAsia="en-US"/>
    </w:rPr>
  </w:style>
  <w:style w:type="character" w:customStyle="1" w:styleId="40">
    <w:name w:val="Заголовок 4 Знак"/>
    <w:basedOn w:val="a0"/>
    <w:link w:val="4"/>
    <w:rsid w:val="001627BF"/>
    <w:rPr>
      <w:rFonts w:eastAsia="SimSun"/>
      <w:i/>
      <w:iCs/>
      <w:noProof/>
      <w:lang w:val="en-US" w:eastAsia="en-US"/>
    </w:rPr>
  </w:style>
  <w:style w:type="paragraph" w:customStyle="1" w:styleId="21">
    <w:name w:val="Основной текст 21"/>
    <w:basedOn w:val="a"/>
    <w:rsid w:val="001627BF"/>
    <w:pPr>
      <w:tabs>
        <w:tab w:val="left" w:pos="851"/>
      </w:tabs>
      <w:ind w:firstLine="567"/>
      <w:jc w:val="both"/>
    </w:pPr>
    <w:rPr>
      <w:lang w:val="ru-RU" w:eastAsia="ar-SA"/>
    </w:rPr>
  </w:style>
  <w:style w:type="character" w:customStyle="1" w:styleId="50">
    <w:name w:val="Заголовок 5 Знак"/>
    <w:basedOn w:val="a0"/>
    <w:link w:val="5"/>
    <w:semiHidden/>
    <w:rsid w:val="001627BF"/>
    <w:rPr>
      <w:rFonts w:asciiTheme="majorHAnsi" w:eastAsiaTheme="majorEastAsia" w:hAnsiTheme="majorHAnsi" w:cstheme="majorBidi"/>
      <w:color w:val="243F60" w:themeColor="accent1" w:themeShade="7F"/>
      <w:sz w:val="24"/>
      <w:lang w:val="en-US" w:eastAsia="en-US"/>
    </w:rPr>
  </w:style>
  <w:style w:type="paragraph" w:customStyle="1" w:styleId="references">
    <w:name w:val="references"/>
    <w:rsid w:val="001627BF"/>
    <w:pPr>
      <w:numPr>
        <w:numId w:val="8"/>
      </w:numPr>
      <w:spacing w:after="50" w:line="180" w:lineRule="exact"/>
      <w:jc w:val="both"/>
    </w:pPr>
    <w:rPr>
      <w:rFonts w:eastAsia="MS Mincho"/>
      <w:noProof/>
      <w:sz w:val="16"/>
      <w:szCs w:val="16"/>
      <w:lang w:val="en-US" w:eastAsia="en-US"/>
    </w:rPr>
  </w:style>
  <w:style w:type="paragraph" w:styleId="ae">
    <w:name w:val="List Paragraph"/>
    <w:basedOn w:val="a"/>
    <w:uiPriority w:val="34"/>
    <w:rsid w:val="009E574C"/>
    <w:pPr>
      <w:ind w:left="720"/>
      <w:contextualSpacing/>
    </w:pPr>
  </w:style>
  <w:style w:type="table" w:styleId="30">
    <w:name w:val="Table 3D effects 3"/>
    <w:basedOn w:val="a1"/>
    <w:rsid w:val="00C92F7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448~1\AppData\Local\Temp\Rar$DIa0.612\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25156-0845-4DF2-B301-9798ADA22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206</TotalTime>
  <Pages>7</Pages>
  <Words>3275</Words>
  <Characters>18671</Characters>
  <Application>Microsoft Office Word</Application>
  <DocSecurity>0</DocSecurity>
  <Lines>155</Lines>
  <Paragraphs>43</Paragraphs>
  <ScaleCrop>false</ScaleCrop>
  <HeadingPairs>
    <vt:vector size="6" baseType="variant">
      <vt:variant>
        <vt:lpstr>Название</vt:lpstr>
      </vt:variant>
      <vt:variant>
        <vt:i4>1</vt:i4>
      </vt:variant>
      <vt:variant>
        <vt:lpstr>Заголовки</vt:lpstr>
      </vt:variant>
      <vt:variant>
        <vt:i4>4</vt:i4>
      </vt:variant>
      <vt:variant>
        <vt:lpstr>Title</vt:lpstr>
      </vt:variant>
      <vt:variant>
        <vt:i4>1</vt:i4>
      </vt:variant>
    </vt:vector>
  </HeadingPairs>
  <TitlesOfParts>
    <vt:vector size="6" baseType="lpstr">
      <vt:lpstr>Title Goes Here</vt:lpstr>
      <vt:lpstr>Current Status of Investigations and Developments </vt:lpstr>
      <vt:lpstr>    TPI-switches Applications (Fig.2-5)</vt:lpstr>
      <vt:lpstr>    TDI-switches applications (Fig. 5-10)</vt:lpstr>
      <vt:lpstr>    Competitive advantages of TDI and TDI-switches </vt:lpstr>
      <vt:lpstr>Title Goes Here</vt:lpstr>
    </vt:vector>
  </TitlesOfParts>
  <Company>PPI</Company>
  <LinksUpToDate>false</LinksUpToDate>
  <CharactersWithSpaces>21903</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ИП</dc:creator>
  <cp:lastModifiedBy>ИП</cp:lastModifiedBy>
  <cp:revision>27</cp:revision>
  <cp:lastPrinted>2011-03-03T08:29:00Z</cp:lastPrinted>
  <dcterms:created xsi:type="dcterms:W3CDTF">2016-07-21T13:32:00Z</dcterms:created>
  <dcterms:modified xsi:type="dcterms:W3CDTF">2016-08-29T11:59:00Z</dcterms:modified>
</cp:coreProperties>
</file>