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53DD8" w14:textId="77777777" w:rsidR="00907B86" w:rsidRDefault="002D3201">
      <w:pPr>
        <w:jc w:val="center"/>
      </w:pPr>
      <w:r>
        <w:rPr>
          <w:b/>
        </w:rPr>
        <w:t>ДОГОВОР № _____</w:t>
      </w:r>
    </w:p>
    <w:p w14:paraId="7CE283D9" w14:textId="77777777" w:rsidR="00907B86" w:rsidRDefault="00907B86">
      <w:pPr>
        <w:jc w:val="center"/>
      </w:pPr>
    </w:p>
    <w:p w14:paraId="18E909C1" w14:textId="77777777" w:rsidR="00907B86" w:rsidRDefault="00907B86">
      <w:pPr>
        <w:jc w:val="center"/>
      </w:pPr>
    </w:p>
    <w:p w14:paraId="3F27F692" w14:textId="1ED4F391" w:rsidR="00907B86" w:rsidRDefault="002D3201">
      <w:r>
        <w:t xml:space="preserve">г. </w:t>
      </w:r>
      <w:r w:rsidR="004D05B2">
        <w:t>Санкт-Петербург</w:t>
      </w:r>
      <w:r>
        <w:t xml:space="preserve">                                                                                       «__» ________ 2025 г.</w:t>
      </w:r>
    </w:p>
    <w:p w14:paraId="7B2B277C" w14:textId="77777777" w:rsidR="00907B86" w:rsidRDefault="00907B86"/>
    <w:p w14:paraId="4196C831" w14:textId="77777777" w:rsidR="00907B86" w:rsidRDefault="002D3201">
      <w:pPr>
        <w:ind w:firstLine="567"/>
        <w:jc w:val="both"/>
      </w:pPr>
      <w:r>
        <w:t>Акционерное общество «НИИЭФА им. Д.В. Ефремова» (АО «НИИЭФА»), именуемое в дальнейшем «Исполнитель», в лице заместителя генерального директора по государственному технологическому заказу Манзука Максима Витальевича, действующего на основании доверенности от 06.03.2025 № 222/26-ДОВ, с одной стороны, и __________________________________________________________, именуемое в дальнейшем «Заказчик», в лице ____________________________, действующего на основании _________________ с другой стороны, заключили настоящий договор о нижеследующем:</w:t>
      </w:r>
    </w:p>
    <w:p w14:paraId="508ADB4A" w14:textId="77777777" w:rsidR="00907B86" w:rsidRDefault="00907B86">
      <w:pPr>
        <w:ind w:firstLine="567"/>
        <w:jc w:val="both"/>
      </w:pPr>
    </w:p>
    <w:p w14:paraId="7A0B7767" w14:textId="77777777" w:rsidR="00907B86" w:rsidRDefault="002D3201">
      <w:pPr>
        <w:jc w:val="center"/>
      </w:pPr>
      <w:r>
        <w:rPr>
          <w:b/>
        </w:rPr>
        <w:t>1. Предмет договора.</w:t>
      </w:r>
    </w:p>
    <w:p w14:paraId="24F09C3C" w14:textId="77777777" w:rsidR="00907B86" w:rsidRDefault="002D3201">
      <w:pPr>
        <w:ind w:firstLine="567"/>
        <w:jc w:val="both"/>
        <w:rPr>
          <w:rFonts w:ascii="XO Thames" w:hAnsi="XO Thames"/>
          <w:i/>
          <w:color w:val="000000" w:themeColor="text1"/>
        </w:rPr>
      </w:pPr>
      <w:r>
        <w:t>1.1. Исполнитель принимает на себя обязательства оказать услуги по организации и проведению ХХIХ Международной конференции по ускорителям частиц «RuPAC`25» (далее – Конференция, RuPAC-25), а Заказчик обязуется своевременно принять и оплатить эти услуги.</w:t>
      </w:r>
    </w:p>
    <w:p w14:paraId="3DA68057" w14:textId="77777777" w:rsidR="00907B86" w:rsidRDefault="002D3201">
      <w:pPr>
        <w:ind w:firstLine="567"/>
        <w:jc w:val="both"/>
      </w:pPr>
      <w:r>
        <w:t xml:space="preserve">1.2. Срок оказания услуг: с 15.09.2025 по 19.09.2025. </w:t>
      </w:r>
    </w:p>
    <w:p w14:paraId="37965B94" w14:textId="46FAB1B5" w:rsidR="00907B86" w:rsidRDefault="002D3201">
      <w:pPr>
        <w:ind w:firstLine="567"/>
        <w:jc w:val="both"/>
        <w:rPr>
          <w:shd w:val="clear" w:color="auto" w:fill="FFD821"/>
        </w:rPr>
      </w:pPr>
      <w:r>
        <w:t xml:space="preserve">1.3. Место проведения конференции: г. Санкт </w:t>
      </w:r>
      <w:r w:rsidR="00F86BA1">
        <w:t>–</w:t>
      </w:r>
      <w:r>
        <w:t xml:space="preserve"> Петербург</w:t>
      </w:r>
      <w:r w:rsidR="00F86BA1">
        <w:t>,</w:t>
      </w:r>
      <w:r w:rsidR="00F86BA1" w:rsidRPr="00F86BA1">
        <w:t xml:space="preserve"> Пироговская наб., 5/2,  отель «Санкт-Петербург»</w:t>
      </w:r>
      <w:r w:rsidR="00F86BA1">
        <w:t>.</w:t>
      </w:r>
    </w:p>
    <w:p w14:paraId="1E440BAB" w14:textId="77777777" w:rsidR="00907B86" w:rsidRDefault="002D3201">
      <w:pPr>
        <w:ind w:firstLine="567"/>
        <w:jc w:val="both"/>
      </w:pPr>
      <w:r>
        <w:t xml:space="preserve">1.4. Со стороны Заказчика в конференции принимает участие: </w:t>
      </w:r>
    </w:p>
    <w:p w14:paraId="33805CDD" w14:textId="77777777" w:rsidR="00907B86" w:rsidRDefault="002D3201">
      <w:pPr>
        <w:ind w:left="1134"/>
        <w:jc w:val="both"/>
      </w:pPr>
      <w:r>
        <w:t>1. ____________________________________</w:t>
      </w:r>
    </w:p>
    <w:p w14:paraId="5E775789" w14:textId="77777777" w:rsidR="00907B86" w:rsidRDefault="002D3201">
      <w:pPr>
        <w:ind w:left="1134"/>
        <w:jc w:val="both"/>
      </w:pPr>
      <w:r>
        <w:t>2. ____________________________________</w:t>
      </w:r>
    </w:p>
    <w:p w14:paraId="23660707" w14:textId="229DF6C7" w:rsidR="00907B86" w:rsidRPr="00B1482F" w:rsidRDefault="00907B86">
      <w:pPr>
        <w:ind w:left="360" w:firstLine="567"/>
        <w:jc w:val="both"/>
      </w:pPr>
    </w:p>
    <w:p w14:paraId="1C284C5F" w14:textId="77777777" w:rsidR="00907B86" w:rsidRDefault="002D3201">
      <w:pPr>
        <w:jc w:val="center"/>
      </w:pPr>
      <w:r>
        <w:rPr>
          <w:b/>
        </w:rPr>
        <w:t>2. Цена договора и порядок расчетов.</w:t>
      </w:r>
    </w:p>
    <w:p w14:paraId="51068E29" w14:textId="77777777" w:rsidR="00907B86" w:rsidRDefault="002D3201">
      <w:pPr>
        <w:ind w:firstLine="567"/>
        <w:jc w:val="both"/>
      </w:pPr>
      <w:r>
        <w:t>2.1. Стоимость услуг по настоящему Договору составляет _________________________ (________________), в том числе НДС 20% в размере __________ (________________).</w:t>
      </w:r>
    </w:p>
    <w:p w14:paraId="038896D6" w14:textId="77777777" w:rsidR="00907B86" w:rsidRDefault="002D3201">
      <w:pPr>
        <w:ind w:firstLine="567"/>
        <w:jc w:val="both"/>
      </w:pPr>
      <w:r>
        <w:t xml:space="preserve">Стоимость услуг за одного участника составляет </w:t>
      </w:r>
      <w:r>
        <w:rPr>
          <w:shd w:val="clear" w:color="auto" w:fill="FFD821"/>
        </w:rPr>
        <w:t>-________________</w:t>
      </w:r>
      <w:r>
        <w:t>руб. (</w:t>
      </w:r>
      <w:r>
        <w:rPr>
          <w:shd w:val="clear" w:color="auto" w:fill="FFD821"/>
        </w:rPr>
        <w:t>___________________________</w:t>
      </w:r>
      <w:r>
        <w:t xml:space="preserve"> рублей 00 копеек), в том числе НДС 20%</w:t>
      </w:r>
      <w:r>
        <w:rPr>
          <w:shd w:val="clear" w:color="auto" w:fill="FFD821"/>
        </w:rPr>
        <w:t xml:space="preserve"> _______________ </w:t>
      </w:r>
      <w:r>
        <w:t>руб. (</w:t>
      </w:r>
      <w:r>
        <w:rPr>
          <w:shd w:val="clear" w:color="auto" w:fill="FFD821"/>
        </w:rPr>
        <w:t>__________________________________</w:t>
      </w:r>
      <w:r>
        <w:t xml:space="preserve"> 00 копеек).</w:t>
      </w:r>
    </w:p>
    <w:p w14:paraId="2A0F3E59" w14:textId="77777777" w:rsidR="00907B86" w:rsidRDefault="002D3201">
      <w:pPr>
        <w:ind w:firstLine="567"/>
        <w:jc w:val="both"/>
      </w:pPr>
      <w:r>
        <w:t>2.2. Оплата производится авансовым платежом в размере 100% стоимости услуг по договору, в течение 10 (десяти) банковских дней после заключения договора и выставления счета.</w:t>
      </w:r>
    </w:p>
    <w:p w14:paraId="25D7B56C" w14:textId="262B08F8" w:rsidR="00907B86" w:rsidRPr="003903B0" w:rsidRDefault="002D3201">
      <w:pPr>
        <w:ind w:firstLine="567"/>
        <w:jc w:val="both"/>
      </w:pPr>
      <w:r>
        <w:t xml:space="preserve">2.3. При завершении оказания услуг Исполнитель предоставляет Заказчику акт сдачи-приемки </w:t>
      </w:r>
      <w:r w:rsidRPr="003903B0">
        <w:t>услуг</w:t>
      </w:r>
      <w:r w:rsidR="001A388C" w:rsidRPr="001A388C">
        <w:t xml:space="preserve"> </w:t>
      </w:r>
      <w:r w:rsidR="001A388C" w:rsidRPr="003903B0">
        <w:t>и счет-фактуру</w:t>
      </w:r>
      <w:r w:rsidR="006B02E1" w:rsidRPr="003903B0">
        <w:t xml:space="preserve"> или УПД</w:t>
      </w:r>
      <w:r w:rsidRPr="003903B0">
        <w:t xml:space="preserve"> в двух экземплярах</w:t>
      </w:r>
      <w:bookmarkStart w:id="0" w:name="_GoBack"/>
      <w:bookmarkEnd w:id="0"/>
      <w:r w:rsidRPr="003903B0">
        <w:t>.</w:t>
      </w:r>
    </w:p>
    <w:p w14:paraId="5F57C8F3" w14:textId="4EDA1C1D" w:rsidR="00907B86" w:rsidRPr="003903B0" w:rsidRDefault="002D3201">
      <w:pPr>
        <w:ind w:firstLine="567"/>
        <w:jc w:val="both"/>
      </w:pPr>
      <w:r w:rsidRPr="003903B0">
        <w:t>2.4. Заказчик в течение 5 (пяти) банковских дней со дня получения акта сдачи-приемки услуг</w:t>
      </w:r>
      <w:r w:rsidR="005805DD" w:rsidRPr="003903B0">
        <w:t xml:space="preserve"> или УПД</w:t>
      </w:r>
      <w:r w:rsidRPr="003903B0">
        <w:t xml:space="preserve"> обязан направить Исполнителю подписанный акт сдачи-приемки</w:t>
      </w:r>
      <w:r w:rsidR="005805DD" w:rsidRPr="003903B0">
        <w:t xml:space="preserve"> /УПД</w:t>
      </w:r>
      <w:r w:rsidRPr="003903B0">
        <w:t xml:space="preserve"> или мотивированный отказ от приемки услуг с указанием выявленных недостатков и сроков их устранения.</w:t>
      </w:r>
    </w:p>
    <w:p w14:paraId="45C4EE84" w14:textId="20756C17" w:rsidR="00907B86" w:rsidRDefault="002D3201">
      <w:pPr>
        <w:ind w:firstLine="567"/>
        <w:jc w:val="both"/>
      </w:pPr>
      <w:r w:rsidRPr="003903B0">
        <w:t>2.5. В случае не подписания Заказчиком акта</w:t>
      </w:r>
      <w:r w:rsidR="005805DD" w:rsidRPr="003903B0">
        <w:t xml:space="preserve"> или УПД</w:t>
      </w:r>
      <w:r w:rsidRPr="003903B0">
        <w:t xml:space="preserve"> в течение 5 (пяти) банковских дней с даты его получения от Исполнителя или его не предоставления Исполнителю</w:t>
      </w:r>
      <w:r>
        <w:t>, а также отсутствия письменного мотивированного отказа от его подписания, услуги по настоящему договору считаются оказанными надлежащим образом.</w:t>
      </w:r>
    </w:p>
    <w:p w14:paraId="72175BFC" w14:textId="7B4E50FF" w:rsidR="00907B86" w:rsidRDefault="002D3201">
      <w:pPr>
        <w:ind w:firstLine="567"/>
        <w:jc w:val="both"/>
      </w:pPr>
      <w:r>
        <w:t>2.6. Стороны пришли к соглашению на выставление и получение следующих электронных документов:</w:t>
      </w:r>
      <w:r w:rsidR="00EA0DA7">
        <w:t xml:space="preserve"> </w:t>
      </w:r>
      <w:r>
        <w:t>документов об оказании услуг, составленных в электронной форме по форматам, утвержденным действующими приказами ФНС России (за исключением электронных документов, составленных по форматам, утвержденным приказами ФНС России от 30.11.2015 № ММВ-7-10/551@ и № ММВ-7-10/552@); приложений к электронным документам об оказании услуг.</w:t>
      </w:r>
      <w:r w:rsidR="007D0F5B">
        <w:t xml:space="preserve"> </w:t>
      </w:r>
      <w:r>
        <w:t>Стороны подтверждают, что будут использовать необходимые технические средства, позволяющие принимать и обрабатывать электронные документы, подписанные усиленной квалифицированной подписью, с учетом выполнения требований по безопасности информации.</w:t>
      </w:r>
      <w:r w:rsidR="00EA0DA7">
        <w:t xml:space="preserve"> </w:t>
      </w:r>
      <w:r>
        <w:t xml:space="preserve">Настоящее соглашение не ограничивает стороны в </w:t>
      </w:r>
      <w:r>
        <w:lastRenderedPageBreak/>
        <w:t>возможности выставления и получения, указанных документов, составленных на бумажных носителях и подписанных собственноручными подписями представителей сторон, при возникновении такой необходимости.</w:t>
      </w:r>
      <w:r w:rsidR="00EA0DA7">
        <w:t xml:space="preserve"> </w:t>
      </w:r>
      <w:r>
        <w:t>Обмен документами между сторонами предполагает соблюдение всех требований, установленных законодательством Российской Федерацией.</w:t>
      </w:r>
    </w:p>
    <w:p w14:paraId="0530D54D" w14:textId="77777777" w:rsidR="00907B86" w:rsidRDefault="00907B86">
      <w:pPr>
        <w:ind w:firstLine="567"/>
      </w:pPr>
    </w:p>
    <w:p w14:paraId="3D739D1A" w14:textId="77777777" w:rsidR="00907B86" w:rsidRDefault="002D3201">
      <w:pPr>
        <w:jc w:val="center"/>
      </w:pPr>
      <w:r>
        <w:rPr>
          <w:b/>
        </w:rPr>
        <w:t>3. Обязанности сторон.</w:t>
      </w:r>
    </w:p>
    <w:p w14:paraId="175EB5C8" w14:textId="77777777" w:rsidR="00907B86" w:rsidRDefault="002D3201">
      <w:pPr>
        <w:ind w:firstLine="567"/>
        <w:jc w:val="both"/>
      </w:pPr>
      <w:r>
        <w:t>3.1. Исполнитель обязан:</w:t>
      </w:r>
    </w:p>
    <w:p w14:paraId="27706A23" w14:textId="77777777" w:rsidR="00907B86" w:rsidRDefault="002D3201">
      <w:pPr>
        <w:ind w:firstLine="567"/>
        <w:jc w:val="both"/>
      </w:pPr>
      <w:r>
        <w:t>3.1.1. Своевременно и в полном объеме оказать услуги по организации и проведению Конференции, которые включают в себя:</w:t>
      </w:r>
    </w:p>
    <w:p w14:paraId="1EA48833" w14:textId="77777777" w:rsidR="00907B86" w:rsidRDefault="002D3201">
      <w:pPr>
        <w:ind w:firstLine="567"/>
        <w:jc w:val="both"/>
      </w:pPr>
      <w:r>
        <w:t>оповещение участников RuPAC-2025 через сеть Интернет и электронную почту о месте, времени, порядке проведения Конференции;</w:t>
      </w:r>
    </w:p>
    <w:p w14:paraId="2909CAF2" w14:textId="77777777" w:rsidR="00907B86" w:rsidRDefault="002D3201">
      <w:pPr>
        <w:ind w:firstLine="567"/>
        <w:jc w:val="both"/>
      </w:pPr>
      <w:r>
        <w:t>осуществление информационной поддержки участников в период подготовки мероприятий;</w:t>
      </w:r>
    </w:p>
    <w:p w14:paraId="77BB6527" w14:textId="77777777" w:rsidR="00907B86" w:rsidRDefault="002D3201">
      <w:pPr>
        <w:ind w:firstLine="567"/>
        <w:jc w:val="both"/>
      </w:pPr>
      <w:r>
        <w:t>сбор заявок и тезисов участников по установленным формам;</w:t>
      </w:r>
    </w:p>
    <w:p w14:paraId="6B246EB2" w14:textId="77777777" w:rsidR="00907B86" w:rsidRDefault="002D3201">
      <w:pPr>
        <w:ind w:firstLine="567"/>
        <w:jc w:val="both"/>
      </w:pPr>
      <w:r>
        <w:t>подготовка и издание программы Конференции, и распространение ее среди участников;</w:t>
      </w:r>
    </w:p>
    <w:p w14:paraId="6FB7814C" w14:textId="77777777" w:rsidR="00907B86" w:rsidRDefault="002D3201">
      <w:pPr>
        <w:ind w:firstLine="567"/>
        <w:jc w:val="both"/>
      </w:pPr>
      <w:r>
        <w:t>бронирование конференц-залов в месте проведения Конференции;</w:t>
      </w:r>
    </w:p>
    <w:p w14:paraId="6DE82A55" w14:textId="77777777" w:rsidR="00907B86" w:rsidRDefault="002D3201">
      <w:pPr>
        <w:ind w:firstLine="567"/>
        <w:jc w:val="both"/>
      </w:pPr>
      <w:r>
        <w:t>организация заседаний участников для представления устных и стендовых докладов;</w:t>
      </w:r>
    </w:p>
    <w:p w14:paraId="7EACE41B" w14:textId="77777777" w:rsidR="00907B86" w:rsidRDefault="002D3201">
      <w:pPr>
        <w:ind w:firstLine="567"/>
        <w:jc w:val="both"/>
      </w:pPr>
      <w:r>
        <w:t>организация кофе-брейков, обедов, официального банкета, обеспечение питьевой водой;</w:t>
      </w:r>
    </w:p>
    <w:p w14:paraId="49B7C8EF" w14:textId="77777777" w:rsidR="00907B86" w:rsidRDefault="002D3201">
      <w:pPr>
        <w:ind w:firstLine="567"/>
        <w:jc w:val="both"/>
      </w:pPr>
      <w:r>
        <w:t>материально-техническое оснащение и организационное обеспечение Конференции;</w:t>
      </w:r>
    </w:p>
    <w:p w14:paraId="2AA44CAC" w14:textId="77777777" w:rsidR="00907B86" w:rsidRDefault="002D3201">
      <w:pPr>
        <w:ind w:firstLine="567"/>
        <w:jc w:val="both"/>
      </w:pPr>
      <w:r>
        <w:t>бронирование гостиничных номеров участникам Конференции;</w:t>
      </w:r>
    </w:p>
    <w:p w14:paraId="7C1E1FC6" w14:textId="77777777" w:rsidR="00907B86" w:rsidRDefault="002D3201">
      <w:pPr>
        <w:ind w:firstLine="567"/>
        <w:jc w:val="both"/>
      </w:pPr>
      <w:r>
        <w:t>изготовление печатной продукции, предоставление сувенирной продукции, раздаточного материала, бейджей.</w:t>
      </w:r>
    </w:p>
    <w:p w14:paraId="2AB5DF19" w14:textId="77777777" w:rsidR="00907B86" w:rsidRDefault="002D3201">
      <w:pPr>
        <w:ind w:firstLine="567"/>
        <w:jc w:val="both"/>
      </w:pPr>
      <w:r>
        <w:t>3.1.2. Своевременно информировать Заказчика об обстоятельствах, препятствующих проведению конференции или о причинах проведения ее в более поздние сроки.</w:t>
      </w:r>
    </w:p>
    <w:p w14:paraId="1E3C98C7" w14:textId="39EBB10C" w:rsidR="00907B86" w:rsidRDefault="002D3201">
      <w:pPr>
        <w:ind w:firstLine="567"/>
        <w:jc w:val="both"/>
      </w:pPr>
      <w:r>
        <w:t>3.2. Заказчик обязан:</w:t>
      </w:r>
    </w:p>
    <w:p w14:paraId="21F3F4A0" w14:textId="4FCB251B" w:rsidR="00F86BA1" w:rsidRDefault="00F86BA1">
      <w:pPr>
        <w:ind w:firstLine="567"/>
        <w:jc w:val="both"/>
      </w:pPr>
      <w:r>
        <w:t>предоставить заявку на участие в конференции;</w:t>
      </w:r>
    </w:p>
    <w:p w14:paraId="2C0ED5C4" w14:textId="3F5B6B41" w:rsidR="00907B86" w:rsidRDefault="002D3201">
      <w:pPr>
        <w:ind w:left="360"/>
        <w:jc w:val="both"/>
      </w:pPr>
      <w:r>
        <w:t xml:space="preserve">   оплатить услуги Исполнителя в порядке, установленном п. 2.2 настоящего Договора.</w:t>
      </w:r>
    </w:p>
    <w:p w14:paraId="502B7EB1" w14:textId="77777777" w:rsidR="00907B86" w:rsidRDefault="002D3201">
      <w:pPr>
        <w:ind w:firstLine="567"/>
        <w:jc w:val="both"/>
      </w:pPr>
      <w:r>
        <w:t xml:space="preserve">3.3. Заказчик вправе: </w:t>
      </w:r>
    </w:p>
    <w:p w14:paraId="2FA838E0" w14:textId="77777777" w:rsidR="00907B86" w:rsidRDefault="002D3201">
      <w:pPr>
        <w:ind w:firstLine="567"/>
        <w:jc w:val="both"/>
      </w:pPr>
      <w:r>
        <w:t>до начала Конференции произвести замену участника;</w:t>
      </w:r>
    </w:p>
    <w:p w14:paraId="639AA46B" w14:textId="77777777" w:rsidR="00907B86" w:rsidRDefault="002D3201">
      <w:pPr>
        <w:ind w:firstLine="567"/>
        <w:jc w:val="both"/>
      </w:pPr>
      <w:r>
        <w:t>отказаться от участия в конференции, сообщив об этом Исполнителю не позднее, чем за 14 дней до начала мероприятия. В случае отказа Заказчика от участия в Конференции в срок, менее чем зам 14 дней до начала проведения Конференции, авансовый платеж за услуги по проведению Конференции не возвращается.</w:t>
      </w:r>
    </w:p>
    <w:p w14:paraId="3EA27BCE" w14:textId="77777777" w:rsidR="00907B86" w:rsidRDefault="00907B86">
      <w:pPr>
        <w:jc w:val="center"/>
        <w:rPr>
          <w:b/>
        </w:rPr>
      </w:pPr>
    </w:p>
    <w:p w14:paraId="7A746CFE" w14:textId="77777777" w:rsidR="00907B86" w:rsidRDefault="002D3201">
      <w:pPr>
        <w:jc w:val="center"/>
      </w:pPr>
      <w:r>
        <w:rPr>
          <w:b/>
        </w:rPr>
        <w:t>4. Ответственность сторон.</w:t>
      </w:r>
    </w:p>
    <w:p w14:paraId="5F864056" w14:textId="1FD86BFA" w:rsidR="00907B86" w:rsidRDefault="002D3201">
      <w:pPr>
        <w:ind w:firstLine="567"/>
        <w:jc w:val="both"/>
      </w:pPr>
      <w:r>
        <w:t xml:space="preserve">4.1. В случае </w:t>
      </w:r>
      <w:r w:rsidR="00EA0DA7">
        <w:t>нарушения условий настоящего договора Стороны несут ответственность в соответствии с законодательством, действующим на территории Российской Федерации.</w:t>
      </w:r>
      <w:r>
        <w:t xml:space="preserve"> </w:t>
      </w:r>
    </w:p>
    <w:p w14:paraId="6FD3CE0E" w14:textId="4A32456F" w:rsidR="00907B86" w:rsidRDefault="002D3201" w:rsidP="007D0F5B">
      <w:pPr>
        <w:ind w:firstLine="567"/>
        <w:jc w:val="both"/>
      </w:pPr>
      <w:r>
        <w:t>4.</w:t>
      </w:r>
      <w:r w:rsidR="00EA0DA7">
        <w:t>2</w:t>
      </w:r>
      <w:r>
        <w:t>. Заказчик настоящим гарантирует, что он не контролируется лицами, включенными в перечень лиц, указанный в постановлении Правительства Российской Федерации от 01.11.2018 № 1300 «О мерах по реализации Указа Президента Российской Федерации от 22.10.2018 № 592» и Постановлении Правительства Российской Федерации от 11.05.2022 №851 «О мерах по реализации Указа Президента Российской Федерации от 3 мая 2022 г. №252», а также что ни он сам, ни лицо, подписавшее настоящий договор, не включены в перечни лиц, в отношении которых применяются специальные экономические меры в соответствии с указанными постановлениями Правительства Российской Федерации или в соответствии с любыми иными актами Президента Российской Федерации или Правительства Российской Федерации.</w:t>
      </w:r>
      <w:r w:rsidR="007D0F5B">
        <w:t xml:space="preserve"> </w:t>
      </w:r>
      <w:r>
        <w:t>В случае включения Заказчика, его единоличных исполнительных органов, иных лиц, действующих от его имени, или лиц, которые его контролируют, в перечни лиц, в отношении которых применяются специальные экономические меры в соответствии с какими-либо актами Президента Российской Федерации или Правительства Российской Федерации, Заказчик незамедлительно информирует об этом Исполнителя.</w:t>
      </w:r>
    </w:p>
    <w:p w14:paraId="2096907F" w14:textId="5B7E90AF" w:rsidR="00907B86" w:rsidRDefault="002D3201">
      <w:pPr>
        <w:tabs>
          <w:tab w:val="left" w:pos="709"/>
        </w:tabs>
        <w:ind w:firstLine="567"/>
        <w:jc w:val="both"/>
        <w:outlineLvl w:val="1"/>
      </w:pPr>
      <w:r>
        <w:lastRenderedPageBreak/>
        <w:t>Исполнитель и Заказчик подтверждают, что условия настоящего подпункта признаны ими существенными условиями настоящего Договора в соответствии со статьей 432 Гражданского кодекса Российской Федерации.</w:t>
      </w:r>
      <w:r w:rsidR="007D0F5B">
        <w:t xml:space="preserve"> </w:t>
      </w:r>
      <w:r>
        <w:t>Если специальной нормой части второй Гражданского кодекса Российской Федерации не установлено иное, не предоставление Заказчиком указанной в настоящем подпункте информации, а равно получение Исполнителем соответствующей информации о включении Заказчика, а также иных лиц, указанных в настоящем пункте, в указанные перечни лиц любым иным способом, является основанием для одностороннего внесудебного отказа Исполнителя от исполнения договора. Договор считается расторгнутым с даты получения Заказчиком соответствующего письменного уведомления Исполнителя, если более поздняя дата не будет установлена в уведомлении.</w:t>
      </w:r>
      <w:r w:rsidR="007D0F5B">
        <w:t xml:space="preserve"> </w:t>
      </w:r>
      <w:r>
        <w:t>Факт включения Заказчика, а также иных лиц, указанных в настоящем пункте, в перечни лиц, в отношении которых применяются специальные экономические меры в соответствии с какими-либо актами Президента или Правительства Российской Федерации, не является обстоятельством непреодолимой силы для Заказчика.</w:t>
      </w:r>
    </w:p>
    <w:p w14:paraId="03522FDC" w14:textId="77777777" w:rsidR="00907B86" w:rsidRDefault="00907B86">
      <w:pPr>
        <w:ind w:firstLine="567"/>
        <w:jc w:val="both"/>
      </w:pPr>
    </w:p>
    <w:p w14:paraId="0302BD0E" w14:textId="77777777" w:rsidR="00907B86" w:rsidRDefault="002D3201">
      <w:pPr>
        <w:jc w:val="center"/>
      </w:pPr>
      <w:r>
        <w:rPr>
          <w:b/>
        </w:rPr>
        <w:t>5. Порядок разрешения споров.</w:t>
      </w:r>
    </w:p>
    <w:p w14:paraId="1B1B630F" w14:textId="77777777" w:rsidR="00907B86" w:rsidRDefault="002D3201">
      <w:pPr>
        <w:ind w:firstLine="567"/>
        <w:jc w:val="both"/>
      </w:pPr>
      <w:r>
        <w:t xml:space="preserve">5.1. Все споры или разногласия, возникающие между сторонами по настоящему договору или в связи с ним, разрешаются с обязательным соблюдением претензионного порядка. Срок ответа на претензию - 15 дней с момента получения. </w:t>
      </w:r>
    </w:p>
    <w:p w14:paraId="0029B12C" w14:textId="66AD1D00" w:rsidR="00907B86" w:rsidRDefault="002D3201" w:rsidP="007D0F5B">
      <w:pPr>
        <w:ind w:firstLine="567"/>
        <w:jc w:val="both"/>
        <w:rPr>
          <w:shd w:val="clear" w:color="auto" w:fill="FFD821"/>
        </w:rPr>
      </w:pPr>
      <w:r>
        <w:t>Для целей направления претензий, исковых заявлений и иных документов, направленных на решение споров, предусмотренных в п. 5.2 договора, будут использоваться следующие адреса электронной почты:</w:t>
      </w:r>
      <w:r w:rsidR="007D0F5B">
        <w:t xml:space="preserve"> </w:t>
      </w:r>
      <w:r>
        <w:t xml:space="preserve">АО «НИИЭФА»: </w:t>
      </w:r>
      <w:hyperlink r:id="rId7">
        <w:r>
          <w:t>lawyer@niiefa.spb.su</w:t>
        </w:r>
      </w:hyperlink>
      <w:r w:rsidR="007D0F5B">
        <w:t xml:space="preserve">; </w:t>
      </w:r>
      <w:r>
        <w:rPr>
          <w:shd w:val="clear" w:color="auto" w:fill="FFD821"/>
        </w:rPr>
        <w:t>[наименование Заказчика]: [адрес электронной почты].</w:t>
      </w:r>
    </w:p>
    <w:p w14:paraId="5A7EA280" w14:textId="4B70A19E" w:rsidR="00907B86" w:rsidRPr="007D0F5B" w:rsidRDefault="002D3201">
      <w:pPr>
        <w:tabs>
          <w:tab w:val="left" w:pos="142"/>
        </w:tabs>
        <w:ind w:firstLine="567"/>
        <w:jc w:val="both"/>
        <w:rPr>
          <w:i/>
        </w:rPr>
      </w:pPr>
      <w:r>
        <w:t xml:space="preserve">5.2.  </w:t>
      </w:r>
      <w:r>
        <w:tab/>
        <w:t>Подсудность</w:t>
      </w:r>
      <w:r w:rsidR="007D0F5B">
        <w:t xml:space="preserve"> </w:t>
      </w:r>
      <w:r w:rsidR="007D0F5B" w:rsidRPr="007D0F5B">
        <w:rPr>
          <w:i/>
          <w:highlight w:val="yellow"/>
        </w:rPr>
        <w:t>(выбрать нужное, в зависимости от вида Заказчика)</w:t>
      </w:r>
      <w:r w:rsidR="007D0F5B">
        <w:rPr>
          <w:i/>
        </w:rPr>
        <w:t>:</w:t>
      </w:r>
    </w:p>
    <w:p w14:paraId="472CE736" w14:textId="77777777" w:rsidR="00907B86" w:rsidRPr="007D0F5B" w:rsidRDefault="002D3201">
      <w:pPr>
        <w:tabs>
          <w:tab w:val="left" w:pos="142"/>
        </w:tabs>
        <w:ind w:firstLine="567"/>
        <w:jc w:val="both"/>
        <w:rPr>
          <w:i/>
        </w:rPr>
      </w:pPr>
      <w:r>
        <w:t xml:space="preserve">5.2.1. </w:t>
      </w:r>
      <w:r>
        <w:tab/>
      </w:r>
      <w:r w:rsidRPr="007D0F5B">
        <w:rPr>
          <w:i/>
          <w:highlight w:val="yellow"/>
        </w:rPr>
        <w:t>Третейская оговорка, применяемая в случае, если договор заключен между организациями Госкорпорации «Росатом</w:t>
      </w:r>
      <w:r w:rsidRPr="007D0F5B">
        <w:rPr>
          <w:highlight w:val="yellow"/>
        </w:rPr>
        <w:t>»:</w:t>
      </w:r>
    </w:p>
    <w:p w14:paraId="77C6677C" w14:textId="7C04441E" w:rsidR="00907B86" w:rsidRDefault="002D3201" w:rsidP="007D0F5B">
      <w:pPr>
        <w:tabs>
          <w:tab w:val="left" w:pos="142"/>
        </w:tabs>
        <w:ind w:firstLine="567"/>
        <w:jc w:val="both"/>
      </w:pPr>
      <w:r>
        <w:t>Любой спор, разногласие или претензия, вытекающие из настоящего Договора и возникающие в связи с ним, в том числе связанные с его нарушением, заключением, изменением, прекращением или недействительностью, разрешаются путем арбитража, администрируемого Российским  арбитражным центром при автономной некоммерческой организации «Российский институт современного арбитража» в соответствии с Правилами Отделения Российского арбитражного центра при автономной некоммерческой организации «Российский институт современного арбитража» по разрешению споров в атомной отрасли. В случае изменения адреса электронной почты, указанного в п. 5.1 договора, Сторона обязуется незамедлительно сообщить о таком изменении другой Стороне, а в случае, если арбитраж уже начат, также Отделению Российского арбитражного центра при автономной некоммерческой организации «Российский институт современного арбитража» по разрешению споров в атомной отрасли. В ином случае Сторона несет все негативные последствия направления письменных заявлений, сообщений и иных письменных документов по неактуальному адресу электронной почты.</w:t>
      </w:r>
      <w:r w:rsidR="007D0F5B">
        <w:t xml:space="preserve"> </w:t>
      </w:r>
      <w:r>
        <w:t>Стороны принимают на себя обязанность добровольно исполнять арбитражное решение. Стороны прямо соглашаются, что в случае,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«Российский институт современного арбитража» по разрешению споров в атомной отрасли, Сторона, заявляющая отвод, не вправе подавать в компетентный суд заявление об удовлетворении отвода. Стороны прямо соглашаются, что в случае, если Состав арбитража выносит постановление о наличии у него компетенции в качестве вопроса предварительного характера, Стороны не вправе подавать в компетентный суд заявление об отсутствии у Состава арбитража компетенции. Стороны прямо соглашаются, что арбитражное решение является окончательным для Сторон и отмене не подлежит.</w:t>
      </w:r>
      <w:r w:rsidR="007D0F5B">
        <w:t xml:space="preserve"> </w:t>
      </w:r>
      <w:r>
        <w:t xml:space="preserve">В случаях, предусмотренных статьей 25 Правил Отделения Российского арбитражного центра при автономной некоммерческой организации «Российский институт современного арбитража» по разрешению споров в </w:t>
      </w:r>
      <w:r>
        <w:lastRenderedPageBreak/>
        <w:t>атомной отрасли, Сторонами может быть заключено соглашение о рассмотрении спора в рамках ускоренной процедуры арбитража.</w:t>
      </w:r>
    </w:p>
    <w:p w14:paraId="52C45E83" w14:textId="7CB56F31" w:rsidR="007D0F5B" w:rsidRPr="007D0F5B" w:rsidRDefault="002D3201" w:rsidP="00EA0DA7">
      <w:pPr>
        <w:ind w:firstLine="567"/>
        <w:jc w:val="both"/>
        <w:rPr>
          <w:i/>
        </w:rPr>
      </w:pPr>
      <w:bookmarkStart w:id="1" w:name="_Hlk202434036"/>
      <w:r>
        <w:t>5.2.</w:t>
      </w:r>
      <w:r w:rsidR="007D0F5B">
        <w:t>1</w:t>
      </w:r>
      <w:r>
        <w:t xml:space="preserve">. </w:t>
      </w:r>
      <w:r w:rsidR="007D0F5B" w:rsidRPr="007D0F5B">
        <w:rPr>
          <w:i/>
          <w:highlight w:val="yellow"/>
        </w:rPr>
        <w:t>В случае если Заказчиком по Договору является контрагент</w:t>
      </w:r>
      <w:r w:rsidR="00F86BA1">
        <w:rPr>
          <w:i/>
          <w:highlight w:val="yellow"/>
        </w:rPr>
        <w:t>, не являющийся организацией Госкорпорации «Росатом»</w:t>
      </w:r>
      <w:r w:rsidR="007D0F5B" w:rsidRPr="007D0F5B">
        <w:rPr>
          <w:i/>
          <w:highlight w:val="yellow"/>
        </w:rPr>
        <w:t>:</w:t>
      </w:r>
    </w:p>
    <w:bookmarkEnd w:id="1"/>
    <w:p w14:paraId="5C4B949A" w14:textId="41DA058C" w:rsidR="00907B86" w:rsidRDefault="007D0F5B" w:rsidP="00EA0DA7">
      <w:pPr>
        <w:ind w:firstLine="567"/>
        <w:jc w:val="both"/>
      </w:pPr>
      <w:r>
        <w:t xml:space="preserve"> </w:t>
      </w:r>
      <w:r w:rsidR="002D3201">
        <w:t>Любой спор, разногласие, претензия или требование, вытекающие из настоящего Договора и возникающие в связи с ним, в том числе связанные с его нарушением, заключением, изменением, прекращением или недействительностью, разрешаются в Арбитражном суде Санкт-Петербурга и Ленинградской области.</w:t>
      </w:r>
    </w:p>
    <w:p w14:paraId="3C617297" w14:textId="468D1C4E" w:rsidR="00F86BA1" w:rsidRDefault="00F86BA1" w:rsidP="00F86BA1">
      <w:pPr>
        <w:ind w:firstLine="567"/>
        <w:jc w:val="both"/>
        <w:rPr>
          <w:i/>
        </w:rPr>
      </w:pPr>
      <w:r>
        <w:t xml:space="preserve">5.2.1. </w:t>
      </w:r>
      <w:r w:rsidRPr="007D0F5B">
        <w:rPr>
          <w:i/>
          <w:highlight w:val="yellow"/>
        </w:rPr>
        <w:t>В случае если Заказчиком по Договору является контрагент</w:t>
      </w:r>
      <w:r>
        <w:rPr>
          <w:i/>
          <w:highlight w:val="yellow"/>
        </w:rPr>
        <w:t>, не являющийся резидентом Российской Федерации</w:t>
      </w:r>
      <w:r w:rsidRPr="007D0F5B">
        <w:rPr>
          <w:i/>
          <w:highlight w:val="yellow"/>
        </w:rPr>
        <w:t>:</w:t>
      </w:r>
    </w:p>
    <w:p w14:paraId="2E83C443" w14:textId="20E52A6C" w:rsidR="00A530BA" w:rsidRPr="00A530BA" w:rsidRDefault="00A530BA" w:rsidP="00A530BA">
      <w:pPr>
        <w:ind w:firstLine="567"/>
        <w:jc w:val="both"/>
        <w:rPr>
          <w:iCs/>
        </w:rPr>
      </w:pPr>
      <w:r w:rsidRPr="00A530BA">
        <w:rPr>
          <w:iCs/>
        </w:rPr>
        <w:t>Договор регулируется правом РФ. Рассмотрение споров предусмотрено в Международном коммерческом арбитражном суде при Торгово-промышленной палате Российской Федерации.</w:t>
      </w:r>
      <w:r>
        <w:rPr>
          <w:iCs/>
        </w:rPr>
        <w:t xml:space="preserve"> </w:t>
      </w:r>
      <w:r w:rsidRPr="00A530BA">
        <w:rPr>
          <w:iCs/>
        </w:rPr>
        <w:t>Место рассмотрения- Р</w:t>
      </w:r>
      <w:r>
        <w:rPr>
          <w:iCs/>
        </w:rPr>
        <w:t xml:space="preserve">оссийская </w:t>
      </w:r>
      <w:r w:rsidRPr="00A530BA">
        <w:rPr>
          <w:iCs/>
        </w:rPr>
        <w:t>Ф</w:t>
      </w:r>
      <w:r>
        <w:rPr>
          <w:iCs/>
        </w:rPr>
        <w:t>едерация</w:t>
      </w:r>
      <w:r w:rsidRPr="00A530BA">
        <w:rPr>
          <w:iCs/>
        </w:rPr>
        <w:t>.</w:t>
      </w:r>
    </w:p>
    <w:p w14:paraId="641390DE" w14:textId="77777777" w:rsidR="00F86BA1" w:rsidRDefault="00F86BA1" w:rsidP="00EA0DA7">
      <w:pPr>
        <w:ind w:firstLine="567"/>
        <w:jc w:val="both"/>
      </w:pPr>
    </w:p>
    <w:p w14:paraId="7BE75EDA" w14:textId="77777777" w:rsidR="00907B86" w:rsidRDefault="00907B86">
      <w:pPr>
        <w:ind w:firstLine="567"/>
        <w:jc w:val="both"/>
      </w:pPr>
    </w:p>
    <w:p w14:paraId="762ECFAC" w14:textId="77777777" w:rsidR="00907B86" w:rsidRDefault="002D3201">
      <w:pPr>
        <w:jc w:val="center"/>
      </w:pPr>
      <w:r>
        <w:rPr>
          <w:b/>
        </w:rPr>
        <w:t xml:space="preserve">6. Форс-мажорные обстоятельства </w:t>
      </w:r>
    </w:p>
    <w:p w14:paraId="01F5C08E" w14:textId="552C88FB" w:rsidR="00907B86" w:rsidRDefault="002D3201">
      <w:pPr>
        <w:tabs>
          <w:tab w:val="left" w:pos="142"/>
        </w:tabs>
        <w:ind w:firstLine="567"/>
        <w:jc w:val="both"/>
      </w:pPr>
      <w:r>
        <w:t>6.1.Стороны освобождаются от ответственности за полное или частичное неисполнение своих обязательств по Договору, если их неисполнение или частичное неисполнение явилось следствием обстоятельств непреодолимой силы.</w:t>
      </w:r>
      <w:r w:rsidR="007D0F5B">
        <w:t xml:space="preserve"> </w:t>
      </w:r>
      <w:r>
        <w:t>Под обстоятельствами непреодолимой силы понимают такие обстоятельства, которые возникли после заключения договора в результате непредвиденных и непредотвратимых событий, неподвластных сторонам, включая, но не ограничиваясь: пожар, наводнение, землетрясение, другие стихийные бедствия, запрещение властей, террористический акт, экономические и политические санкции, введенные в отношении Российской Федерации и (или) ее резидентов, при условии, что эти обстоятельства оказывают воздействие на выполнение обязательств по договору и подтверждены соответствующими уполномоченными органами, вступившими в силу нормативными актами органов власти.</w:t>
      </w:r>
    </w:p>
    <w:p w14:paraId="523186AF" w14:textId="325A7BA1" w:rsidR="00907B86" w:rsidRDefault="002D3201">
      <w:pPr>
        <w:tabs>
          <w:tab w:val="left" w:pos="142"/>
        </w:tabs>
        <w:ind w:firstLine="567"/>
        <w:jc w:val="both"/>
      </w:pPr>
      <w:r>
        <w:t>6.</w:t>
      </w:r>
      <w:r w:rsidR="007D0F5B">
        <w:t>2</w:t>
      </w:r>
      <w:r>
        <w:t xml:space="preserve">. Сторона, исполнению обязательств которой препятствует обстоятельство непреодолимой силы, обязана в течение 5 (пяти) рабочих дней письменно информировать другую Сторону о случившемся и его причинах. Возникновение, длительность и (или) прекращение действия обстоятельства непреодолимой силы должно подтверждаться сертификатом (свидетельством), выданным компетентным органом государственной власти или Торгово-промышленной палатой Российской Федерации или субъекта Российской Федерации. Сторона, не уведомившая вторую Сторону о возникновении обстоятельства непреодолимой силы в установленный срок, лишается права ссылаться на такое обстоятельство в дальнейшем. В случае, если обстоятельства непреодолимой силы действуют в течение </w:t>
      </w:r>
      <w:r w:rsidR="007D0F5B">
        <w:t>1</w:t>
      </w:r>
      <w:r>
        <w:t xml:space="preserve"> (</w:t>
      </w:r>
      <w:r w:rsidR="007D0F5B">
        <w:t>одного</w:t>
      </w:r>
      <w:r>
        <w:t>) месяц</w:t>
      </w:r>
      <w:r w:rsidR="007D0F5B">
        <w:t>а</w:t>
      </w:r>
      <w:r>
        <w:t>, любая из Сторон вправе потребовать расторжения Договора.</w:t>
      </w:r>
    </w:p>
    <w:p w14:paraId="6BA08B60" w14:textId="77777777" w:rsidR="00907B86" w:rsidRDefault="00907B86">
      <w:pPr>
        <w:tabs>
          <w:tab w:val="left" w:pos="142"/>
          <w:tab w:val="left" w:pos="284"/>
        </w:tabs>
        <w:ind w:firstLine="567"/>
        <w:contextualSpacing/>
        <w:jc w:val="both"/>
      </w:pPr>
    </w:p>
    <w:p w14:paraId="1F6B7DE3" w14:textId="1AFCB8F2" w:rsidR="007D0F5B" w:rsidRDefault="00EA0DA7" w:rsidP="007D0F5B">
      <w:pPr>
        <w:jc w:val="center"/>
        <w:rPr>
          <w:b/>
        </w:rPr>
      </w:pPr>
      <w:r>
        <w:rPr>
          <w:b/>
        </w:rPr>
        <w:t>7</w:t>
      </w:r>
      <w:r w:rsidR="002D3201">
        <w:rPr>
          <w:b/>
        </w:rPr>
        <w:t>. Условия конфиденциальности</w:t>
      </w:r>
      <w:r w:rsidR="007D0F5B">
        <w:rPr>
          <w:b/>
        </w:rPr>
        <w:t>, условия обработки персональных данных</w:t>
      </w:r>
    </w:p>
    <w:p w14:paraId="090FE18E" w14:textId="5A848E54" w:rsidR="00907B86" w:rsidRDefault="00907B86">
      <w:pPr>
        <w:jc w:val="center"/>
        <w:rPr>
          <w:b/>
        </w:rPr>
      </w:pPr>
    </w:p>
    <w:p w14:paraId="414CCBD8" w14:textId="443F1727" w:rsidR="00907B86" w:rsidRDefault="00EA0DA7">
      <w:pPr>
        <w:spacing w:line="276" w:lineRule="auto"/>
        <w:ind w:firstLine="567"/>
        <w:jc w:val="both"/>
      </w:pPr>
      <w:r>
        <w:t>7</w:t>
      </w:r>
      <w:r w:rsidR="002D3201">
        <w:t xml:space="preserve">.1. В рамках настоящего договора передается только общедоступная информация. </w:t>
      </w:r>
    </w:p>
    <w:p w14:paraId="0B7EFBE4" w14:textId="08E4A48E" w:rsidR="00907B86" w:rsidRDefault="007D0F5B" w:rsidP="007D0F5B">
      <w:pPr>
        <w:ind w:firstLine="510"/>
        <w:jc w:val="both"/>
      </w:pPr>
      <w:r>
        <w:t xml:space="preserve"> 7</w:t>
      </w:r>
      <w:r w:rsidR="002D3201">
        <w:t>.</w:t>
      </w:r>
      <w:r>
        <w:t>2</w:t>
      </w:r>
      <w:r w:rsidR="002D3201">
        <w:t>. Поручение на обработку персональных данных.</w:t>
      </w:r>
      <w:r>
        <w:t xml:space="preserve"> </w:t>
      </w:r>
      <w:r w:rsidR="002D3201">
        <w:t>Заказчик обязуется в соответствии с требованиями законодательства Российской Федерации получить согласия субъектов персональных данных</w:t>
      </w:r>
      <w:r>
        <w:t xml:space="preserve"> (участников конференции)</w:t>
      </w:r>
      <w:r w:rsidR="002D3201">
        <w:t xml:space="preserve"> на их обработку и передачу Заказчиком Исполнителю в целях исполнения условий договора. Заказчик гарантирует наличие законных оснований (согласия субъектов персональных данных) для обработки Исполнителем персональных данных в рамках настоящего договора. При этом Заказчик поручает Исполнителю обработку указанных персональных данных.</w:t>
      </w:r>
    </w:p>
    <w:p w14:paraId="41F1145F" w14:textId="77777777" w:rsidR="00907B86" w:rsidRDefault="002D3201">
      <w:pPr>
        <w:jc w:val="both"/>
      </w:pPr>
      <w:r>
        <w:t xml:space="preserve">  </w:t>
      </w:r>
    </w:p>
    <w:p w14:paraId="58A746B8" w14:textId="25DD8F03" w:rsidR="00907B86" w:rsidRDefault="007D0F5B">
      <w:pPr>
        <w:jc w:val="center"/>
        <w:rPr>
          <w:b/>
        </w:rPr>
      </w:pPr>
      <w:r>
        <w:rPr>
          <w:b/>
        </w:rPr>
        <w:t>8</w:t>
      </w:r>
      <w:r w:rsidR="002D3201">
        <w:rPr>
          <w:b/>
        </w:rPr>
        <w:t>. Прочие условия</w:t>
      </w:r>
    </w:p>
    <w:p w14:paraId="2450E241" w14:textId="65628FD0" w:rsidR="00907B86" w:rsidRDefault="007D0F5B">
      <w:pPr>
        <w:tabs>
          <w:tab w:val="left" w:pos="988"/>
        </w:tabs>
        <w:ind w:firstLine="567"/>
        <w:jc w:val="both"/>
      </w:pPr>
      <w:r>
        <w:t>8</w:t>
      </w:r>
      <w:r w:rsidR="002D3201">
        <w:t>.</w:t>
      </w:r>
      <w:r w:rsidR="00EA0DA7">
        <w:t>1.</w:t>
      </w:r>
      <w:r w:rsidR="002D3201">
        <w:t xml:space="preserve"> Настоящий договор действует с даты его заключения до полного исполнения сторонами своих обязательств.</w:t>
      </w:r>
    </w:p>
    <w:p w14:paraId="4E04902F" w14:textId="16AA0118" w:rsidR="00907B86" w:rsidRDefault="007D0F5B">
      <w:pPr>
        <w:tabs>
          <w:tab w:val="left" w:pos="900"/>
        </w:tabs>
        <w:ind w:firstLine="567"/>
        <w:jc w:val="both"/>
      </w:pPr>
      <w:r>
        <w:t>8</w:t>
      </w:r>
      <w:r w:rsidR="002D3201">
        <w:t>.2. Настоящий договор составлен в 2-х экземплярах, по одному для каждой из сторон.</w:t>
      </w:r>
    </w:p>
    <w:p w14:paraId="201C3A3C" w14:textId="6B3A3568" w:rsidR="00907B86" w:rsidRDefault="007D0F5B">
      <w:pPr>
        <w:ind w:firstLine="567"/>
        <w:jc w:val="both"/>
      </w:pPr>
      <w:r>
        <w:lastRenderedPageBreak/>
        <w:t>8</w:t>
      </w:r>
      <w:r w:rsidR="002D3201">
        <w:t>.3.Стороны обязаны сообщать друг другу об изменении юридических адресов, банковских реквизитов в пятидневный срок с момента их изменений.</w:t>
      </w:r>
    </w:p>
    <w:p w14:paraId="75F2DD7F" w14:textId="66DDBAD9" w:rsidR="00907B86" w:rsidRDefault="007D0F5B">
      <w:pPr>
        <w:ind w:firstLine="567"/>
        <w:jc w:val="both"/>
      </w:pPr>
      <w:r>
        <w:t>8</w:t>
      </w:r>
      <w:r w:rsidR="002D3201">
        <w:t>.4. Настоящий договор может быть расторгнут по соглашению сторон, по решению суда или вследствие отказа одной из сторон от исполнения договора.</w:t>
      </w:r>
    </w:p>
    <w:p w14:paraId="57FE43AA" w14:textId="50893A8E" w:rsidR="00B1482F" w:rsidRPr="00B1482F" w:rsidRDefault="00B1482F" w:rsidP="00B1482F">
      <w:pPr>
        <w:suppressAutoHyphens w:val="0"/>
        <w:autoSpaceDE w:val="0"/>
        <w:autoSpaceDN w:val="0"/>
        <w:adjustRightInd w:val="0"/>
        <w:ind w:firstLine="567"/>
        <w:jc w:val="both"/>
      </w:pPr>
      <w:r>
        <w:t>8.5.</w:t>
      </w:r>
      <w:r w:rsidRPr="00B1482F">
        <w:t xml:space="preserve"> Отношения Сторон в рамках</w:t>
      </w:r>
      <w:r>
        <w:t xml:space="preserve"> настоящего</w:t>
      </w:r>
      <w:r w:rsidRPr="00B1482F">
        <w:t xml:space="preserve"> </w:t>
      </w:r>
      <w:r>
        <w:t>д</w:t>
      </w:r>
      <w:r w:rsidRPr="00B1482F">
        <w:t>оговора регулируются законодательством Российской Федерации.</w:t>
      </w:r>
    </w:p>
    <w:p w14:paraId="39118A66" w14:textId="70F73D79" w:rsidR="00B1482F" w:rsidRDefault="00B1482F">
      <w:pPr>
        <w:ind w:firstLine="567"/>
        <w:jc w:val="both"/>
      </w:pPr>
    </w:p>
    <w:p w14:paraId="53A04A26" w14:textId="77777777" w:rsidR="00907B86" w:rsidRDefault="00907B86">
      <w:pPr>
        <w:ind w:firstLine="567"/>
        <w:jc w:val="both"/>
      </w:pPr>
    </w:p>
    <w:p w14:paraId="4749634E" w14:textId="234093AA" w:rsidR="00907B86" w:rsidRDefault="007D0F5B">
      <w:pPr>
        <w:jc w:val="center"/>
        <w:rPr>
          <w:b/>
        </w:rPr>
      </w:pPr>
      <w:r w:rsidRPr="007D0F5B">
        <w:rPr>
          <w:b/>
        </w:rPr>
        <w:t>9</w:t>
      </w:r>
      <w:r w:rsidR="002D3201" w:rsidRPr="007D0F5B">
        <w:rPr>
          <w:b/>
        </w:rPr>
        <w:t>.</w:t>
      </w:r>
      <w:r w:rsidR="002D3201">
        <w:t xml:space="preserve"> </w:t>
      </w:r>
      <w:r w:rsidR="002D3201">
        <w:rPr>
          <w:b/>
        </w:rPr>
        <w:t>Адреса и реквизиты сторон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1"/>
        <w:gridCol w:w="4677"/>
      </w:tblGrid>
      <w:tr w:rsidR="00907B86" w14:paraId="64A117EA" w14:textId="77777777">
        <w:tc>
          <w:tcPr>
            <w:tcW w:w="4820" w:type="dxa"/>
            <w:shd w:val="clear" w:color="auto" w:fill="auto"/>
          </w:tcPr>
          <w:p w14:paraId="65737675" w14:textId="77777777" w:rsidR="00907B86" w:rsidRDefault="002D320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Исполнитель</w:t>
            </w:r>
            <w:r>
              <w:rPr>
                <w:sz w:val="20"/>
              </w:rPr>
              <w:t>:</w:t>
            </w:r>
          </w:p>
          <w:p w14:paraId="19945F84" w14:textId="77777777" w:rsidR="00907B86" w:rsidRDefault="00907B86">
            <w:pPr>
              <w:rPr>
                <w:sz w:val="20"/>
              </w:rPr>
            </w:pPr>
          </w:p>
          <w:p w14:paraId="4D5B0719" w14:textId="77777777" w:rsidR="00062A6E" w:rsidRPr="00062A6E" w:rsidRDefault="00062A6E" w:rsidP="00062A6E">
            <w:pPr>
              <w:jc w:val="center"/>
              <w:rPr>
                <w:b/>
                <w:bCs/>
                <w:sz w:val="20"/>
              </w:rPr>
            </w:pPr>
            <w:r w:rsidRPr="00062A6E">
              <w:rPr>
                <w:b/>
                <w:bCs/>
                <w:sz w:val="20"/>
              </w:rPr>
              <w:t>АО «НИИЭФА»</w:t>
            </w:r>
          </w:p>
          <w:p w14:paraId="382C3202" w14:textId="77777777" w:rsidR="00062A6E" w:rsidRPr="00062A6E" w:rsidRDefault="00062A6E" w:rsidP="00062A6E">
            <w:pPr>
              <w:rPr>
                <w:sz w:val="20"/>
              </w:rPr>
            </w:pPr>
          </w:p>
          <w:p w14:paraId="12874E19" w14:textId="77777777" w:rsidR="00062A6E" w:rsidRPr="00062A6E" w:rsidRDefault="00062A6E" w:rsidP="00062A6E">
            <w:pPr>
              <w:rPr>
                <w:sz w:val="20"/>
              </w:rPr>
            </w:pPr>
            <w:r w:rsidRPr="00062A6E">
              <w:rPr>
                <w:sz w:val="20"/>
              </w:rPr>
              <w:t>Юридический адрес/ Почтовый адрес: 196641, г. Санкт-Петербург, пос. Металлострой, дорога на Металлострой, дом 3.</w:t>
            </w:r>
          </w:p>
          <w:p w14:paraId="6BCBC09D" w14:textId="77777777" w:rsidR="00062A6E" w:rsidRPr="00062A6E" w:rsidRDefault="00062A6E" w:rsidP="00062A6E">
            <w:pPr>
              <w:rPr>
                <w:sz w:val="20"/>
              </w:rPr>
            </w:pPr>
            <w:r w:rsidRPr="00062A6E">
              <w:rPr>
                <w:sz w:val="20"/>
              </w:rPr>
              <w:t>ИНН 7817331468</w:t>
            </w:r>
          </w:p>
          <w:p w14:paraId="02A93555" w14:textId="77777777" w:rsidR="00062A6E" w:rsidRPr="00062A6E" w:rsidRDefault="00062A6E" w:rsidP="00062A6E">
            <w:pPr>
              <w:rPr>
                <w:sz w:val="20"/>
              </w:rPr>
            </w:pPr>
            <w:r w:rsidRPr="00062A6E">
              <w:rPr>
                <w:sz w:val="20"/>
              </w:rPr>
              <w:t>КПП 781701001</w:t>
            </w:r>
          </w:p>
          <w:p w14:paraId="306FBFBE" w14:textId="77777777" w:rsidR="00062A6E" w:rsidRPr="00062A6E" w:rsidRDefault="00062A6E" w:rsidP="00062A6E">
            <w:pPr>
              <w:rPr>
                <w:sz w:val="20"/>
              </w:rPr>
            </w:pPr>
            <w:r w:rsidRPr="00062A6E">
              <w:rPr>
                <w:sz w:val="20"/>
              </w:rPr>
              <w:t>ОГРН 1137847503067</w:t>
            </w:r>
          </w:p>
          <w:p w14:paraId="4A1BA8E7" w14:textId="77777777" w:rsidR="00062A6E" w:rsidRPr="00062A6E" w:rsidRDefault="00062A6E" w:rsidP="00062A6E">
            <w:pPr>
              <w:rPr>
                <w:sz w:val="20"/>
              </w:rPr>
            </w:pPr>
            <w:r w:rsidRPr="00062A6E">
              <w:rPr>
                <w:sz w:val="20"/>
              </w:rPr>
              <w:t>Банковские реквизиты: Филиал ОПЕРУ Банк ВТБ (ПАО) в Санкт-Петербурге г. Санкт-Петербург</w:t>
            </w:r>
          </w:p>
          <w:p w14:paraId="222B7E56" w14:textId="7A0A3C0E" w:rsidR="00062A6E" w:rsidRPr="00062A6E" w:rsidRDefault="00062A6E" w:rsidP="00062A6E">
            <w:pPr>
              <w:rPr>
                <w:sz w:val="20"/>
              </w:rPr>
            </w:pPr>
            <w:r w:rsidRPr="00062A6E">
              <w:rPr>
                <w:sz w:val="20"/>
              </w:rPr>
              <w:t>Р/с 40702810330210000020</w:t>
            </w:r>
          </w:p>
          <w:p w14:paraId="799A699A" w14:textId="77777777" w:rsidR="00062A6E" w:rsidRPr="00062A6E" w:rsidRDefault="00062A6E" w:rsidP="00062A6E">
            <w:pPr>
              <w:rPr>
                <w:sz w:val="20"/>
              </w:rPr>
            </w:pPr>
            <w:r w:rsidRPr="00062A6E">
              <w:rPr>
                <w:sz w:val="20"/>
              </w:rPr>
              <w:t>К/с 30101810200000000704</w:t>
            </w:r>
          </w:p>
          <w:p w14:paraId="33D23A46" w14:textId="77777777" w:rsidR="00062A6E" w:rsidRPr="00062A6E" w:rsidRDefault="00062A6E" w:rsidP="00062A6E">
            <w:pPr>
              <w:rPr>
                <w:sz w:val="20"/>
              </w:rPr>
            </w:pPr>
            <w:r w:rsidRPr="00062A6E">
              <w:rPr>
                <w:sz w:val="20"/>
              </w:rPr>
              <w:t>БИК 044030704</w:t>
            </w:r>
          </w:p>
          <w:p w14:paraId="231256B0" w14:textId="6D84D835" w:rsidR="00062A6E" w:rsidRPr="00062A6E" w:rsidRDefault="00062A6E" w:rsidP="00062A6E">
            <w:pPr>
              <w:rPr>
                <w:sz w:val="20"/>
              </w:rPr>
            </w:pPr>
            <w:r w:rsidRPr="00062A6E">
              <w:rPr>
                <w:sz w:val="20"/>
              </w:rPr>
              <w:t>Телефон: 8 (812) 464-</w:t>
            </w:r>
            <w:r w:rsidR="00286F0A">
              <w:rPr>
                <w:sz w:val="20"/>
              </w:rPr>
              <w:t>89</w:t>
            </w:r>
            <w:r w:rsidRPr="00062A6E">
              <w:rPr>
                <w:sz w:val="20"/>
              </w:rPr>
              <w:t>-</w:t>
            </w:r>
            <w:r w:rsidR="00286F0A">
              <w:rPr>
                <w:sz w:val="20"/>
              </w:rPr>
              <w:t>63</w:t>
            </w:r>
          </w:p>
          <w:p w14:paraId="11946DD0" w14:textId="5BCBA900" w:rsidR="00062A6E" w:rsidRPr="00062A6E" w:rsidRDefault="00062A6E" w:rsidP="00062A6E">
            <w:pPr>
              <w:rPr>
                <w:sz w:val="20"/>
              </w:rPr>
            </w:pPr>
            <w:r w:rsidRPr="00062A6E">
              <w:rPr>
                <w:sz w:val="20"/>
              </w:rPr>
              <w:t xml:space="preserve">Эл. почта: </w:t>
            </w:r>
            <w:r>
              <w:rPr>
                <w:sz w:val="20"/>
                <w:lang w:val="en-US"/>
              </w:rPr>
              <w:t>niiefa</w:t>
            </w:r>
            <w:r w:rsidRPr="00062A6E">
              <w:rPr>
                <w:sz w:val="20"/>
              </w:rPr>
              <w:t>@</w:t>
            </w:r>
            <w:r>
              <w:rPr>
                <w:sz w:val="20"/>
                <w:lang w:val="en-US"/>
              </w:rPr>
              <w:t>rosatom</w:t>
            </w:r>
            <w:r w:rsidRPr="00286F0A"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r</w:t>
            </w:r>
            <w:r w:rsidRPr="00062A6E">
              <w:rPr>
                <w:sz w:val="20"/>
              </w:rPr>
              <w:t>u</w:t>
            </w:r>
          </w:p>
          <w:p w14:paraId="6C210BD7" w14:textId="77777777" w:rsidR="00907B86" w:rsidRDefault="00907B86">
            <w:pPr>
              <w:rPr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4AD01C7C" w14:textId="77777777" w:rsidR="00907B86" w:rsidRDefault="002D320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Заказчик:</w:t>
            </w:r>
          </w:p>
          <w:p w14:paraId="2CE191BF" w14:textId="77777777" w:rsidR="00907B86" w:rsidRDefault="00907B86">
            <w:pPr>
              <w:rPr>
                <w:sz w:val="20"/>
              </w:rPr>
            </w:pPr>
          </w:p>
        </w:tc>
      </w:tr>
      <w:tr w:rsidR="00907B86" w14:paraId="0FBF0593" w14:textId="77777777">
        <w:tc>
          <w:tcPr>
            <w:tcW w:w="9497" w:type="dxa"/>
            <w:gridSpan w:val="2"/>
            <w:shd w:val="clear" w:color="auto" w:fill="auto"/>
          </w:tcPr>
          <w:p w14:paraId="131F4972" w14:textId="77777777" w:rsidR="00907B86" w:rsidRDefault="00907B86">
            <w:pPr>
              <w:jc w:val="center"/>
              <w:rPr>
                <w:b/>
              </w:rPr>
            </w:pPr>
          </w:p>
          <w:p w14:paraId="3251614C" w14:textId="77777777" w:rsidR="00907B86" w:rsidRDefault="00907B86">
            <w:pPr>
              <w:jc w:val="center"/>
              <w:rPr>
                <w:b/>
              </w:rPr>
            </w:pPr>
          </w:p>
          <w:p w14:paraId="770E7400" w14:textId="77777777" w:rsidR="00907B86" w:rsidRDefault="002D320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Подписи сторон</w:t>
            </w:r>
          </w:p>
          <w:p w14:paraId="00852A93" w14:textId="77777777" w:rsidR="00907B86" w:rsidRDefault="00907B86">
            <w:pPr>
              <w:jc w:val="center"/>
              <w:rPr>
                <w:sz w:val="20"/>
              </w:rPr>
            </w:pPr>
          </w:p>
        </w:tc>
      </w:tr>
      <w:tr w:rsidR="00907B86" w14:paraId="413C1BEE" w14:textId="77777777">
        <w:tc>
          <w:tcPr>
            <w:tcW w:w="4820" w:type="dxa"/>
            <w:shd w:val="clear" w:color="auto" w:fill="auto"/>
          </w:tcPr>
          <w:p w14:paraId="2E458669" w14:textId="77777777" w:rsidR="00907B86" w:rsidRDefault="00907B86">
            <w:pPr>
              <w:rPr>
                <w:sz w:val="20"/>
              </w:rPr>
            </w:pPr>
          </w:p>
          <w:p w14:paraId="3C423D5A" w14:textId="77777777" w:rsidR="00907B86" w:rsidRDefault="00907B86">
            <w:pPr>
              <w:rPr>
                <w:sz w:val="20"/>
              </w:rPr>
            </w:pPr>
          </w:p>
          <w:p w14:paraId="543887AA" w14:textId="77777777" w:rsidR="00907B86" w:rsidRDefault="002D3201">
            <w:pPr>
              <w:rPr>
                <w:sz w:val="20"/>
              </w:rPr>
            </w:pPr>
            <w:r>
              <w:rPr>
                <w:sz w:val="20"/>
              </w:rPr>
              <w:t>________________ /М.В. Манзук/</w:t>
            </w:r>
          </w:p>
          <w:p w14:paraId="17B95E60" w14:textId="77777777" w:rsidR="00907B86" w:rsidRDefault="002D3201">
            <w:pPr>
              <w:rPr>
                <w:sz w:val="20"/>
              </w:rPr>
            </w:pPr>
            <w:r>
              <w:rPr>
                <w:sz w:val="20"/>
              </w:rPr>
              <w:tab/>
              <w:t>м.п.</w:t>
            </w:r>
          </w:p>
        </w:tc>
        <w:tc>
          <w:tcPr>
            <w:tcW w:w="4677" w:type="dxa"/>
            <w:shd w:val="clear" w:color="auto" w:fill="auto"/>
          </w:tcPr>
          <w:p w14:paraId="3D6645A4" w14:textId="77777777" w:rsidR="00907B86" w:rsidRDefault="00907B86">
            <w:pPr>
              <w:rPr>
                <w:sz w:val="20"/>
              </w:rPr>
            </w:pPr>
          </w:p>
          <w:p w14:paraId="178A8A55" w14:textId="77777777" w:rsidR="00907B86" w:rsidRDefault="00907B86">
            <w:pPr>
              <w:rPr>
                <w:sz w:val="20"/>
              </w:rPr>
            </w:pPr>
          </w:p>
          <w:p w14:paraId="38E9ABFB" w14:textId="77777777" w:rsidR="00907B86" w:rsidRDefault="002D320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________________ /_______________/                               </w:t>
            </w:r>
          </w:p>
          <w:p w14:paraId="7777927F" w14:textId="77777777" w:rsidR="00907B86" w:rsidRDefault="002D3201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м.п.</w:t>
            </w:r>
          </w:p>
        </w:tc>
      </w:tr>
    </w:tbl>
    <w:p w14:paraId="3A0854CD" w14:textId="77777777" w:rsidR="00907B86" w:rsidRDefault="00907B86" w:rsidP="007D0F5B">
      <w:pPr>
        <w:rPr>
          <w:b/>
        </w:rPr>
      </w:pPr>
    </w:p>
    <w:sectPr w:rsidR="00907B86">
      <w:pgSz w:w="11906" w:h="16838"/>
      <w:pgMar w:top="851" w:right="851" w:bottom="851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68E21" w14:textId="77777777" w:rsidR="00617881" w:rsidRDefault="00617881">
      <w:r>
        <w:separator/>
      </w:r>
    </w:p>
  </w:endnote>
  <w:endnote w:type="continuationSeparator" w:id="0">
    <w:p w14:paraId="5931609E" w14:textId="77777777" w:rsidR="00617881" w:rsidRDefault="0061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4FF08" w14:textId="77777777" w:rsidR="00617881" w:rsidRDefault="00617881">
      <w:pPr>
        <w:rPr>
          <w:sz w:val="12"/>
        </w:rPr>
      </w:pPr>
      <w:r>
        <w:separator/>
      </w:r>
    </w:p>
  </w:footnote>
  <w:footnote w:type="continuationSeparator" w:id="0">
    <w:p w14:paraId="6257E81F" w14:textId="77777777" w:rsidR="00617881" w:rsidRDefault="00617881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1D28"/>
    <w:multiLevelType w:val="multilevel"/>
    <w:tmpl w:val="9B1E54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FE2D30"/>
    <w:multiLevelType w:val="multilevel"/>
    <w:tmpl w:val="82CC555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026A83"/>
    <w:multiLevelType w:val="multilevel"/>
    <w:tmpl w:val="06264DFA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86"/>
    <w:rsid w:val="00020846"/>
    <w:rsid w:val="00062A6E"/>
    <w:rsid w:val="001A388C"/>
    <w:rsid w:val="00286F0A"/>
    <w:rsid w:val="002D3201"/>
    <w:rsid w:val="003903B0"/>
    <w:rsid w:val="003B5377"/>
    <w:rsid w:val="004D05B2"/>
    <w:rsid w:val="005805DD"/>
    <w:rsid w:val="00617881"/>
    <w:rsid w:val="006B02E1"/>
    <w:rsid w:val="0079460F"/>
    <w:rsid w:val="007D0F5B"/>
    <w:rsid w:val="00817654"/>
    <w:rsid w:val="00907B86"/>
    <w:rsid w:val="009A0E10"/>
    <w:rsid w:val="009A5AC4"/>
    <w:rsid w:val="00A530BA"/>
    <w:rsid w:val="00B1482F"/>
    <w:rsid w:val="00B833AA"/>
    <w:rsid w:val="00BD4DED"/>
    <w:rsid w:val="00DF2C7A"/>
    <w:rsid w:val="00EA0DA7"/>
    <w:rsid w:val="00ED5169"/>
    <w:rsid w:val="00F70C63"/>
    <w:rsid w:val="00F8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DA17"/>
  <w15:docId w15:val="{6A249EC5-F44C-4773-A26C-9CC8A574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BA1"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numPr>
        <w:numId w:val="2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2"/>
      </w:numPr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8z0">
    <w:name w:val="WW8Num8z0"/>
    <w:link w:val="WW8Num8z00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6z4">
    <w:name w:val="WW8Num6z4"/>
    <w:link w:val="WW8Num6z40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1z0">
    <w:name w:val="WW8Num1z0"/>
    <w:link w:val="WW8Num1z00"/>
    <w:qFormat/>
  </w:style>
  <w:style w:type="character" w:customStyle="1" w:styleId="WW8Num7z0">
    <w:name w:val="WW8Num7z0"/>
    <w:link w:val="WW8Num7z00"/>
    <w:qFormat/>
  </w:style>
  <w:style w:type="character" w:customStyle="1" w:styleId="WW8Num3z7">
    <w:name w:val="WW8Num3z7"/>
    <w:link w:val="WW8Num3z70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4z3">
    <w:name w:val="WW8Num4z3"/>
    <w:link w:val="WW8Num4z30"/>
    <w:qFormat/>
  </w:style>
  <w:style w:type="character" w:customStyle="1" w:styleId="WW8Num7z6">
    <w:name w:val="WW8Num7z6"/>
    <w:link w:val="WW8Num7z60"/>
    <w:qFormat/>
  </w:style>
  <w:style w:type="character" w:customStyle="1" w:styleId="WW8Num9z3">
    <w:name w:val="WW8Num9z3"/>
    <w:link w:val="WW8Num9z30"/>
    <w:qFormat/>
    <w:rPr>
      <w:rFonts w:ascii="Symbol" w:hAnsi="Symbol"/>
    </w:rPr>
  </w:style>
  <w:style w:type="character" w:customStyle="1" w:styleId="WW8Num5z0">
    <w:name w:val="WW8Num5z0"/>
    <w:link w:val="WW8Num5z00"/>
    <w:qFormat/>
  </w:style>
  <w:style w:type="character" w:customStyle="1" w:styleId="WW8Num7z5">
    <w:name w:val="WW8Num7z5"/>
    <w:link w:val="WW8Num7z50"/>
    <w:qFormat/>
  </w:style>
  <w:style w:type="character" w:customStyle="1" w:styleId="WW8Num6z8">
    <w:name w:val="WW8Num6z8"/>
    <w:link w:val="WW8Num6z80"/>
    <w:qFormat/>
  </w:style>
  <w:style w:type="character" w:customStyle="1" w:styleId="Textbodyindent">
    <w:name w:val="Text body indent"/>
    <w:qFormat/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Arial" w:hAnsi="Arial"/>
      <w:b/>
      <w:sz w:val="26"/>
    </w:rPr>
  </w:style>
  <w:style w:type="character" w:customStyle="1" w:styleId="a3">
    <w:name w:val="Текст примечания Знак"/>
    <w:basedOn w:val="10"/>
    <w:link w:val="a4"/>
    <w:qFormat/>
  </w:style>
  <w:style w:type="character" w:customStyle="1" w:styleId="WW8Num2z3">
    <w:name w:val="WW8Num2z3"/>
    <w:link w:val="WW8Num2z30"/>
    <w:qFormat/>
  </w:style>
  <w:style w:type="character" w:customStyle="1" w:styleId="WW8Num2z4">
    <w:name w:val="WW8Num2z4"/>
    <w:link w:val="WW8Num2z40"/>
    <w:qFormat/>
  </w:style>
  <w:style w:type="character" w:customStyle="1" w:styleId="WW8Num4z2">
    <w:name w:val="WW8Num4z2"/>
    <w:link w:val="WW8Num4z20"/>
    <w:qFormat/>
  </w:style>
  <w:style w:type="character" w:customStyle="1" w:styleId="WW8Num6z1">
    <w:name w:val="WW8Num6z1"/>
    <w:link w:val="WW8Num6z10"/>
    <w:qFormat/>
  </w:style>
  <w:style w:type="character" w:customStyle="1" w:styleId="WW8Num8z5">
    <w:name w:val="WW8Num8z5"/>
    <w:link w:val="WW8Num8z50"/>
    <w:qFormat/>
  </w:style>
  <w:style w:type="character" w:customStyle="1" w:styleId="a5">
    <w:name w:val="Стиль начало"/>
    <w:link w:val="a6"/>
    <w:qFormat/>
    <w:rPr>
      <w:sz w:val="28"/>
    </w:rPr>
  </w:style>
  <w:style w:type="character" w:customStyle="1" w:styleId="TableHeading">
    <w:name w:val="Table Heading"/>
    <w:basedOn w:val="TableContents"/>
    <w:qFormat/>
    <w:rPr>
      <w:b/>
    </w:rPr>
  </w:style>
  <w:style w:type="character" w:customStyle="1" w:styleId="11">
    <w:name w:val="Знак примечания1"/>
    <w:link w:val="12"/>
    <w:qFormat/>
    <w:rPr>
      <w:sz w:val="16"/>
    </w:rPr>
  </w:style>
  <w:style w:type="character" w:customStyle="1" w:styleId="WW8Num2z0">
    <w:name w:val="WW8Num2z0"/>
    <w:link w:val="WW8Num2z00"/>
    <w:qFormat/>
  </w:style>
  <w:style w:type="character" w:customStyle="1" w:styleId="WW8Num8z4">
    <w:name w:val="WW8Num8z4"/>
    <w:link w:val="WW8Num8z40"/>
    <w:qFormat/>
  </w:style>
  <w:style w:type="character" w:customStyle="1" w:styleId="WW8Num4z1">
    <w:name w:val="WW8Num4z1"/>
    <w:link w:val="WW8Num4z10"/>
    <w:qFormat/>
  </w:style>
  <w:style w:type="character" w:customStyle="1" w:styleId="WW8Num7z2">
    <w:name w:val="WW8Num7z2"/>
    <w:link w:val="WW8Num7z20"/>
    <w:qFormat/>
  </w:style>
  <w:style w:type="character" w:customStyle="1" w:styleId="a7">
    <w:name w:val="Основной текст с отступом Знак"/>
    <w:link w:val="a8"/>
    <w:qFormat/>
    <w:rPr>
      <w:sz w:val="24"/>
    </w:rPr>
  </w:style>
  <w:style w:type="character" w:customStyle="1" w:styleId="WW8Num2z5">
    <w:name w:val="WW8Num2z5"/>
    <w:link w:val="WW8Num2z50"/>
    <w:qFormat/>
  </w:style>
  <w:style w:type="character" w:customStyle="1" w:styleId="WW8Num8z3">
    <w:name w:val="WW8Num8z3"/>
    <w:link w:val="WW8Num8z30"/>
    <w:qFormat/>
  </w:style>
  <w:style w:type="character" w:customStyle="1" w:styleId="a9">
    <w:name w:val="Название объекта Знак"/>
    <w:link w:val="aa"/>
    <w:qFormat/>
    <w:rPr>
      <w:i/>
      <w:sz w:val="24"/>
    </w:rPr>
  </w:style>
  <w:style w:type="character" w:customStyle="1" w:styleId="WW8Num3z2">
    <w:name w:val="WW8Num3z2"/>
    <w:link w:val="WW8Num3z20"/>
    <w:qFormat/>
  </w:style>
  <w:style w:type="character" w:customStyle="1" w:styleId="WW8Num3z1">
    <w:name w:val="WW8Num3z1"/>
    <w:link w:val="WW8Num3z10"/>
    <w:qFormat/>
  </w:style>
  <w:style w:type="character" w:customStyle="1" w:styleId="10">
    <w:name w:val="Основной шрифт абзаца1"/>
    <w:link w:val="13"/>
    <w:qFormat/>
  </w:style>
  <w:style w:type="character" w:customStyle="1" w:styleId="Index">
    <w:name w:val="Index"/>
    <w:qFormat/>
  </w:style>
  <w:style w:type="character" w:customStyle="1" w:styleId="WW8Num6z5">
    <w:name w:val="WW8Num6z5"/>
    <w:link w:val="WW8Num6z50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6z0">
    <w:name w:val="WW8Num6z0"/>
    <w:link w:val="WW8Num6z00"/>
    <w:qFormat/>
  </w:style>
  <w:style w:type="character" w:customStyle="1" w:styleId="WW8Num6z6">
    <w:name w:val="WW8Num6z6"/>
    <w:link w:val="WW8Num6z60"/>
    <w:qFormat/>
  </w:style>
  <w:style w:type="character" w:customStyle="1" w:styleId="WW8Num6z3">
    <w:name w:val="WW8Num6z3"/>
    <w:link w:val="WW8Num6z30"/>
    <w:qFormat/>
  </w:style>
  <w:style w:type="character" w:customStyle="1" w:styleId="WW8Num9z2">
    <w:name w:val="WW8Num9z2"/>
    <w:link w:val="WW8Num9z20"/>
    <w:qFormat/>
    <w:rPr>
      <w:rFonts w:ascii="Wingdings" w:hAnsi="Wingdings"/>
    </w:rPr>
  </w:style>
  <w:style w:type="character" w:customStyle="1" w:styleId="listname">
    <w:name w:val="listname"/>
    <w:link w:val="listname0"/>
    <w:qFormat/>
  </w:style>
  <w:style w:type="character" w:customStyle="1" w:styleId="14">
    <w:name w:val="Список1"/>
    <w:basedOn w:val="Textbody"/>
    <w:qFormat/>
    <w:rPr>
      <w:b/>
    </w:rPr>
  </w:style>
  <w:style w:type="character" w:customStyle="1" w:styleId="WW8Num8z7">
    <w:name w:val="WW8Num8z7"/>
    <w:link w:val="WW8Num8z70"/>
    <w:qFormat/>
  </w:style>
  <w:style w:type="character" w:customStyle="1" w:styleId="ConsNormal">
    <w:name w:val="ConsNormal"/>
    <w:link w:val="ConsNormal0"/>
    <w:qFormat/>
    <w:rPr>
      <w:rFonts w:ascii="Arial" w:hAnsi="Arial"/>
      <w:sz w:val="24"/>
    </w:rPr>
  </w:style>
  <w:style w:type="character" w:customStyle="1" w:styleId="WW8Num2z2">
    <w:name w:val="WW8Num2z2"/>
    <w:link w:val="WW8Num2z20"/>
    <w:qFormat/>
  </w:style>
  <w:style w:type="character" w:customStyle="1" w:styleId="WW8Num3z4">
    <w:name w:val="WW8Num3z4"/>
    <w:link w:val="WW8Num3z40"/>
    <w:qFormat/>
  </w:style>
  <w:style w:type="character" w:customStyle="1" w:styleId="WW8Num4z8">
    <w:name w:val="WW8Num4z8"/>
    <w:link w:val="WW8Num4z80"/>
    <w:qFormat/>
  </w:style>
  <w:style w:type="character" w:customStyle="1" w:styleId="WW8Num8z8">
    <w:name w:val="WW8Num8z8"/>
    <w:link w:val="WW8Num8z80"/>
    <w:qFormat/>
  </w:style>
  <w:style w:type="character" w:customStyle="1" w:styleId="WW8Num4z6">
    <w:name w:val="WW8Num4z6"/>
    <w:link w:val="WW8Num4z60"/>
    <w:qFormat/>
  </w:style>
  <w:style w:type="character" w:customStyle="1" w:styleId="WW8Num6z2">
    <w:name w:val="WW8Num6z2"/>
    <w:link w:val="WW8Num6z20"/>
    <w:qFormat/>
  </w:style>
  <w:style w:type="character" w:customStyle="1" w:styleId="WW8Num4z4">
    <w:name w:val="WW8Num4z4"/>
    <w:link w:val="WW8Num4z40"/>
    <w:qFormat/>
  </w:style>
  <w:style w:type="character" w:customStyle="1" w:styleId="Textbody">
    <w:name w:val="Text body"/>
    <w:qFormat/>
    <w:rPr>
      <w:b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8z1">
    <w:name w:val="WW8Num8z1"/>
    <w:link w:val="WW8Num8z10"/>
    <w:qFormat/>
  </w:style>
  <w:style w:type="character" w:customStyle="1" w:styleId="WW8Num3z3">
    <w:name w:val="WW8Num3z3"/>
    <w:link w:val="WW8Num3z30"/>
    <w:qFormat/>
  </w:style>
  <w:style w:type="character" w:customStyle="1" w:styleId="110">
    <w:name w:val="Заголовок 11"/>
    <w:qFormat/>
    <w:rPr>
      <w:rFonts w:ascii="Arial" w:hAnsi="Arial"/>
    </w:rPr>
  </w:style>
  <w:style w:type="character" w:customStyle="1" w:styleId="WW8Num7z1">
    <w:name w:val="WW8Num7z1"/>
    <w:link w:val="WW8Num7z10"/>
    <w:qFormat/>
  </w:style>
  <w:style w:type="character" w:customStyle="1" w:styleId="WW8Num4z0">
    <w:name w:val="WW8Num4z0"/>
    <w:link w:val="WW8Num4z00"/>
    <w:qFormat/>
  </w:style>
  <w:style w:type="character" w:customStyle="1" w:styleId="15">
    <w:name w:val="Тема примечания Знак1"/>
    <w:basedOn w:val="16"/>
    <w:link w:val="ab"/>
    <w:qFormat/>
    <w:rPr>
      <w:b/>
      <w:sz w:val="20"/>
    </w:rPr>
  </w:style>
  <w:style w:type="character" w:customStyle="1" w:styleId="WW8Num7z7">
    <w:name w:val="WW8Num7z7"/>
    <w:link w:val="WW8Num7z70"/>
    <w:qFormat/>
  </w:style>
  <w:style w:type="character" w:customStyle="1" w:styleId="WW8Num2z8">
    <w:name w:val="WW8Num2z8"/>
    <w:link w:val="WW8Num2z80"/>
    <w:qFormat/>
  </w:style>
  <w:style w:type="character" w:customStyle="1" w:styleId="WW8Num8z2">
    <w:name w:val="WW8Num8z2"/>
    <w:link w:val="WW8Num8z20"/>
    <w:qFormat/>
  </w:style>
  <w:style w:type="character" w:styleId="ac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WW8Num2z6">
    <w:name w:val="WW8Num2z6"/>
    <w:link w:val="WW8Num2z60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6">
    <w:name w:val="Текст примечания1"/>
    <w:link w:val="17"/>
    <w:qFormat/>
    <w:rPr>
      <w:sz w:val="20"/>
    </w:rPr>
  </w:style>
  <w:style w:type="character" w:customStyle="1" w:styleId="WW8Num7z8">
    <w:name w:val="WW8Num7z8"/>
    <w:link w:val="WW8Num7z80"/>
    <w:qFormat/>
  </w:style>
  <w:style w:type="character" w:customStyle="1" w:styleId="WW8Num7z4">
    <w:name w:val="WW8Num7z4"/>
    <w:link w:val="WW8Num7z40"/>
    <w:qFormat/>
  </w:style>
  <w:style w:type="character" w:customStyle="1" w:styleId="WW8Num7z3">
    <w:name w:val="WW8Num7z3"/>
    <w:link w:val="WW8Num7z30"/>
    <w:qFormat/>
  </w:style>
  <w:style w:type="character" w:customStyle="1" w:styleId="ad">
    <w:name w:val="Текст выноски Знак"/>
    <w:link w:val="ae"/>
    <w:qFormat/>
    <w:rPr>
      <w:rFonts w:ascii="Tahoma" w:hAnsi="Tahoma"/>
      <w:sz w:val="16"/>
    </w:rPr>
  </w:style>
  <w:style w:type="character" w:customStyle="1" w:styleId="WW8Num2z1">
    <w:name w:val="WW8Num2z1"/>
    <w:link w:val="WW8Num2z10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TableContents">
    <w:name w:val="Table Contents"/>
    <w:qFormat/>
  </w:style>
  <w:style w:type="character" w:customStyle="1" w:styleId="af">
    <w:name w:val="Тема примечания Знак"/>
    <w:link w:val="af0"/>
    <w:qFormat/>
    <w:rPr>
      <w:b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WW8Num3z0">
    <w:name w:val="WW8Num3z0"/>
    <w:link w:val="WW8Num3z00"/>
    <w:qFormat/>
  </w:style>
  <w:style w:type="character" w:customStyle="1" w:styleId="Heading">
    <w:name w:val="Heading"/>
    <w:qFormat/>
    <w:rPr>
      <w:rFonts w:ascii="Liberation Sans" w:hAnsi="Liberation Sans"/>
      <w:sz w:val="28"/>
    </w:rPr>
  </w:style>
  <w:style w:type="character" w:customStyle="1" w:styleId="WW8Num8z6">
    <w:name w:val="WW8Num8z6"/>
    <w:link w:val="WW8Num8z60"/>
    <w:qFormat/>
  </w:style>
  <w:style w:type="character" w:customStyle="1" w:styleId="WW8Num3z5">
    <w:name w:val="WW8Num3z5"/>
    <w:link w:val="WW8Num3z50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4z7">
    <w:name w:val="WW8Num4z7"/>
    <w:link w:val="WW8Num4z70"/>
    <w:qFormat/>
  </w:style>
  <w:style w:type="character" w:customStyle="1" w:styleId="WW8Num9z1">
    <w:name w:val="WW8Num9z1"/>
    <w:link w:val="WW8Num9z10"/>
    <w:qFormat/>
    <w:rPr>
      <w:rFonts w:ascii="Courier New" w:hAnsi="Courier New"/>
    </w:rPr>
  </w:style>
  <w:style w:type="character" w:customStyle="1" w:styleId="WW8Num1z1">
    <w:name w:val="WW8Num1z1"/>
    <w:link w:val="WW8Num1z10"/>
    <w:qFormat/>
  </w:style>
  <w:style w:type="character" w:customStyle="1" w:styleId="WW8Num3z6">
    <w:name w:val="WW8Num3z6"/>
    <w:link w:val="WW8Num3z60"/>
    <w:qFormat/>
  </w:style>
  <w:style w:type="character" w:customStyle="1" w:styleId="WW8Num4z5">
    <w:name w:val="WW8Num4z5"/>
    <w:link w:val="WW8Num4z50"/>
    <w:qFormat/>
  </w:style>
  <w:style w:type="character" w:customStyle="1" w:styleId="18">
    <w:name w:val="Подзаголовок1"/>
    <w:qFormat/>
    <w:rPr>
      <w:rFonts w:ascii="XO Thames" w:hAnsi="XO Thames"/>
      <w:i/>
      <w:sz w:val="24"/>
    </w:rPr>
  </w:style>
  <w:style w:type="character" w:customStyle="1" w:styleId="19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WW8Num3z8">
    <w:name w:val="WW8Num3z8"/>
    <w:link w:val="WW8Num3z80"/>
    <w:qFormat/>
  </w:style>
  <w:style w:type="character" w:customStyle="1" w:styleId="WW8Num9z0">
    <w:name w:val="WW8Num9z0"/>
    <w:link w:val="WW8Num9z00"/>
    <w:qFormat/>
    <w:rPr>
      <w:rFonts w:ascii="Times New Roman" w:hAnsi="Times New Roman"/>
    </w:rPr>
  </w:style>
  <w:style w:type="character" w:customStyle="1" w:styleId="WW8Num6z7">
    <w:name w:val="WW8Num6z7"/>
    <w:link w:val="WW8Num6z70"/>
    <w:qFormat/>
  </w:style>
  <w:style w:type="character" w:customStyle="1" w:styleId="21">
    <w:name w:val="Заголовок 21"/>
    <w:qFormat/>
    <w:rPr>
      <w:rFonts w:ascii="Arial" w:hAnsi="Arial"/>
      <w:b/>
    </w:rPr>
  </w:style>
  <w:style w:type="character" w:customStyle="1" w:styleId="WW8Num2z7">
    <w:name w:val="WW8Num2z7"/>
    <w:link w:val="WW8Num2z70"/>
    <w:qFormat/>
  </w:style>
  <w:style w:type="character" w:customStyle="1" w:styleId="af1">
    <w:name w:val="Символ сноски"/>
    <w:qFormat/>
  </w:style>
  <w:style w:type="character" w:styleId="af2">
    <w:name w:val="footnote reference"/>
    <w:rPr>
      <w:vertAlign w:val="superscript"/>
    </w:rPr>
  </w:style>
  <w:style w:type="character" w:styleId="af3">
    <w:name w:val="endnote reference"/>
    <w:rPr>
      <w:vertAlign w:val="superscript"/>
    </w:rPr>
  </w:style>
  <w:style w:type="character" w:customStyle="1" w:styleId="af4">
    <w:name w:val="Символ концевой сноски"/>
    <w:qFormat/>
  </w:style>
  <w:style w:type="paragraph" w:styleId="af5">
    <w:name w:val="Title"/>
    <w:next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6">
    <w:name w:val="Body Text"/>
    <w:basedOn w:val="a"/>
    <w:pPr>
      <w:jc w:val="center"/>
    </w:pPr>
    <w:rPr>
      <w:b/>
    </w:rPr>
  </w:style>
  <w:style w:type="paragraph" w:styleId="af7">
    <w:name w:val="List"/>
    <w:basedOn w:val="af6"/>
  </w:style>
  <w:style w:type="paragraph" w:styleId="aa">
    <w:name w:val="caption"/>
    <w:basedOn w:val="a"/>
    <w:link w:val="a9"/>
    <w:qFormat/>
    <w:pPr>
      <w:spacing w:before="120" w:after="120"/>
    </w:pPr>
    <w:rPr>
      <w:i/>
    </w:rPr>
  </w:style>
  <w:style w:type="paragraph" w:styleId="af8">
    <w:name w:val="index heading"/>
    <w:basedOn w:val="a"/>
    <w:qFormat/>
  </w:style>
  <w:style w:type="paragraph" w:customStyle="1" w:styleId="WW8Num8z00">
    <w:name w:val="WW8Num8z0"/>
    <w:link w:val="WW8Num8z0"/>
    <w:qFormat/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6z40">
    <w:name w:val="WW8Num6z4"/>
    <w:link w:val="WW8Num6z4"/>
    <w:qFormat/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1z00">
    <w:name w:val="WW8Num1z0"/>
    <w:link w:val="WW8Num1z0"/>
    <w:qFormat/>
  </w:style>
  <w:style w:type="paragraph" w:customStyle="1" w:styleId="WW8Num7z00">
    <w:name w:val="WW8Num7z0"/>
    <w:link w:val="WW8Num7z0"/>
    <w:qFormat/>
  </w:style>
  <w:style w:type="paragraph" w:customStyle="1" w:styleId="WW8Num3z70">
    <w:name w:val="WW8Num3z7"/>
    <w:link w:val="WW8Num3z7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22">
    <w:name w:val="Основной шрифт абзаца2"/>
    <w:qFormat/>
  </w:style>
  <w:style w:type="paragraph" w:customStyle="1" w:styleId="WW8Num4z30">
    <w:name w:val="WW8Num4z3"/>
    <w:link w:val="WW8Num4z3"/>
    <w:qFormat/>
  </w:style>
  <w:style w:type="paragraph" w:customStyle="1" w:styleId="WW8Num7z60">
    <w:name w:val="WW8Num7z6"/>
    <w:link w:val="WW8Num7z6"/>
    <w:qFormat/>
  </w:style>
  <w:style w:type="paragraph" w:customStyle="1" w:styleId="WW8Num9z30">
    <w:name w:val="WW8Num9z3"/>
    <w:link w:val="WW8Num9z3"/>
    <w:qFormat/>
    <w:rPr>
      <w:rFonts w:ascii="Symbol" w:hAnsi="Symbol"/>
    </w:rPr>
  </w:style>
  <w:style w:type="paragraph" w:customStyle="1" w:styleId="WW8Num5z00">
    <w:name w:val="WW8Num5z0"/>
    <w:link w:val="WW8Num5z0"/>
    <w:qFormat/>
  </w:style>
  <w:style w:type="paragraph" w:customStyle="1" w:styleId="WW8Num7z50">
    <w:name w:val="WW8Num7z5"/>
    <w:link w:val="WW8Num7z5"/>
    <w:qFormat/>
  </w:style>
  <w:style w:type="paragraph" w:customStyle="1" w:styleId="WW8Num6z80">
    <w:name w:val="WW8Num6z8"/>
    <w:link w:val="WW8Num6z8"/>
    <w:qFormat/>
  </w:style>
  <w:style w:type="paragraph" w:styleId="af9">
    <w:name w:val="Body Text Indent"/>
    <w:basedOn w:val="a"/>
    <w:pPr>
      <w:spacing w:after="120"/>
      <w:ind w:left="283"/>
    </w:pPr>
  </w:style>
  <w:style w:type="paragraph" w:customStyle="1" w:styleId="Endnote0">
    <w:name w:val="Endnote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a4">
    <w:name w:val="Текст примечания Знак"/>
    <w:basedOn w:val="13"/>
    <w:link w:val="a3"/>
    <w:qFormat/>
  </w:style>
  <w:style w:type="paragraph" w:customStyle="1" w:styleId="WW8Num2z30">
    <w:name w:val="WW8Num2z3"/>
    <w:link w:val="WW8Num2z3"/>
    <w:qFormat/>
  </w:style>
  <w:style w:type="paragraph" w:customStyle="1" w:styleId="WW8Num2z40">
    <w:name w:val="WW8Num2z4"/>
    <w:link w:val="WW8Num2z4"/>
    <w:qFormat/>
  </w:style>
  <w:style w:type="paragraph" w:customStyle="1" w:styleId="WW8Num4z20">
    <w:name w:val="WW8Num4z2"/>
    <w:link w:val="WW8Num4z2"/>
    <w:qFormat/>
  </w:style>
  <w:style w:type="paragraph" w:customStyle="1" w:styleId="WW8Num6z10">
    <w:name w:val="WW8Num6z1"/>
    <w:link w:val="WW8Num6z1"/>
    <w:qFormat/>
  </w:style>
  <w:style w:type="paragraph" w:customStyle="1" w:styleId="WW8Num8z50">
    <w:name w:val="WW8Num8z5"/>
    <w:link w:val="WW8Num8z5"/>
    <w:qFormat/>
  </w:style>
  <w:style w:type="paragraph" w:customStyle="1" w:styleId="a6">
    <w:name w:val="Стиль начало"/>
    <w:basedOn w:val="a"/>
    <w:link w:val="a5"/>
    <w:qFormat/>
    <w:pPr>
      <w:spacing w:line="264" w:lineRule="auto"/>
    </w:pPr>
    <w:rPr>
      <w:sz w:val="28"/>
    </w:rPr>
  </w:style>
  <w:style w:type="paragraph" w:customStyle="1" w:styleId="afa">
    <w:name w:val="Содержимое таблицы"/>
    <w:basedOn w:val="a"/>
    <w:qFormat/>
  </w:style>
  <w:style w:type="paragraph" w:customStyle="1" w:styleId="afb">
    <w:name w:val="Заголовок таблицы"/>
    <w:basedOn w:val="afa"/>
    <w:qFormat/>
    <w:pPr>
      <w:jc w:val="center"/>
    </w:pPr>
    <w:rPr>
      <w:b/>
    </w:rPr>
  </w:style>
  <w:style w:type="paragraph" w:customStyle="1" w:styleId="12">
    <w:name w:val="Знак примечания1"/>
    <w:link w:val="11"/>
    <w:qFormat/>
    <w:rPr>
      <w:sz w:val="16"/>
    </w:rPr>
  </w:style>
  <w:style w:type="paragraph" w:customStyle="1" w:styleId="WW8Num2z00">
    <w:name w:val="WW8Num2z0"/>
    <w:link w:val="WW8Num2z0"/>
    <w:qFormat/>
  </w:style>
  <w:style w:type="paragraph" w:customStyle="1" w:styleId="WW8Num8z40">
    <w:name w:val="WW8Num8z4"/>
    <w:link w:val="WW8Num8z4"/>
    <w:qFormat/>
  </w:style>
  <w:style w:type="paragraph" w:customStyle="1" w:styleId="WW8Num4z10">
    <w:name w:val="WW8Num4z1"/>
    <w:link w:val="WW8Num4z1"/>
    <w:qFormat/>
  </w:style>
  <w:style w:type="paragraph" w:customStyle="1" w:styleId="WW8Num7z20">
    <w:name w:val="WW8Num7z2"/>
    <w:link w:val="WW8Num7z2"/>
    <w:qFormat/>
  </w:style>
  <w:style w:type="paragraph" w:customStyle="1" w:styleId="a8">
    <w:name w:val="Основной текст с отступом Знак"/>
    <w:link w:val="a7"/>
    <w:qFormat/>
    <w:rPr>
      <w:sz w:val="24"/>
    </w:rPr>
  </w:style>
  <w:style w:type="paragraph" w:customStyle="1" w:styleId="WW8Num2z50">
    <w:name w:val="WW8Num2z5"/>
    <w:link w:val="WW8Num2z5"/>
    <w:qFormat/>
  </w:style>
  <w:style w:type="paragraph" w:customStyle="1" w:styleId="WW8Num8z30">
    <w:name w:val="WW8Num8z3"/>
    <w:link w:val="WW8Num8z3"/>
    <w:qFormat/>
  </w:style>
  <w:style w:type="paragraph" w:customStyle="1" w:styleId="WW8Num3z20">
    <w:name w:val="WW8Num3z2"/>
    <w:link w:val="WW8Num3z2"/>
    <w:qFormat/>
  </w:style>
  <w:style w:type="paragraph" w:customStyle="1" w:styleId="WW8Num3z10">
    <w:name w:val="WW8Num3z1"/>
    <w:link w:val="WW8Num3z1"/>
    <w:qFormat/>
  </w:style>
  <w:style w:type="paragraph" w:customStyle="1" w:styleId="13">
    <w:name w:val="Основной шрифт абзаца1"/>
    <w:link w:val="10"/>
    <w:qFormat/>
  </w:style>
  <w:style w:type="paragraph" w:customStyle="1" w:styleId="WW8Num6z50">
    <w:name w:val="WW8Num6z5"/>
    <w:link w:val="WW8Num6z5"/>
    <w:qFormat/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WW8Num6z00">
    <w:name w:val="WW8Num6z0"/>
    <w:link w:val="WW8Num6z0"/>
    <w:qFormat/>
  </w:style>
  <w:style w:type="paragraph" w:customStyle="1" w:styleId="WW8Num6z60">
    <w:name w:val="WW8Num6z6"/>
    <w:link w:val="WW8Num6z6"/>
    <w:qFormat/>
  </w:style>
  <w:style w:type="paragraph" w:customStyle="1" w:styleId="WW8Num6z30">
    <w:name w:val="WW8Num6z3"/>
    <w:link w:val="WW8Num6z3"/>
    <w:qFormat/>
  </w:style>
  <w:style w:type="paragraph" w:customStyle="1" w:styleId="WW8Num9z20">
    <w:name w:val="WW8Num9z2"/>
    <w:link w:val="WW8Num9z2"/>
    <w:qFormat/>
    <w:rPr>
      <w:rFonts w:ascii="Wingdings" w:hAnsi="Wingdings"/>
    </w:rPr>
  </w:style>
  <w:style w:type="paragraph" w:customStyle="1" w:styleId="listname0">
    <w:name w:val="listname"/>
    <w:link w:val="listname"/>
    <w:qFormat/>
  </w:style>
  <w:style w:type="paragraph" w:customStyle="1" w:styleId="WW8Num8z70">
    <w:name w:val="WW8Num8z7"/>
    <w:link w:val="WW8Num8z7"/>
    <w:qFormat/>
  </w:style>
  <w:style w:type="paragraph" w:customStyle="1" w:styleId="ConsNormal0">
    <w:name w:val="ConsNormal"/>
    <w:link w:val="ConsNormal"/>
    <w:qFormat/>
    <w:pPr>
      <w:widowControl w:val="0"/>
      <w:ind w:firstLine="720"/>
    </w:pPr>
    <w:rPr>
      <w:rFonts w:ascii="Arial" w:hAnsi="Arial"/>
      <w:sz w:val="24"/>
    </w:rPr>
  </w:style>
  <w:style w:type="paragraph" w:customStyle="1" w:styleId="WW8Num2z20">
    <w:name w:val="WW8Num2z2"/>
    <w:link w:val="WW8Num2z2"/>
    <w:qFormat/>
  </w:style>
  <w:style w:type="paragraph" w:customStyle="1" w:styleId="WW8Num3z40">
    <w:name w:val="WW8Num3z4"/>
    <w:link w:val="WW8Num3z4"/>
    <w:qFormat/>
  </w:style>
  <w:style w:type="paragraph" w:customStyle="1" w:styleId="WW8Num4z80">
    <w:name w:val="WW8Num4z8"/>
    <w:link w:val="WW8Num4z8"/>
    <w:qFormat/>
  </w:style>
  <w:style w:type="paragraph" w:customStyle="1" w:styleId="WW8Num8z80">
    <w:name w:val="WW8Num8z8"/>
    <w:link w:val="WW8Num8z8"/>
    <w:qFormat/>
  </w:style>
  <w:style w:type="paragraph" w:customStyle="1" w:styleId="WW8Num4z60">
    <w:name w:val="WW8Num4z6"/>
    <w:link w:val="WW8Num4z6"/>
    <w:qFormat/>
  </w:style>
  <w:style w:type="paragraph" w:customStyle="1" w:styleId="WW8Num6z20">
    <w:name w:val="WW8Num6z2"/>
    <w:link w:val="WW8Num6z2"/>
    <w:qFormat/>
  </w:style>
  <w:style w:type="paragraph" w:customStyle="1" w:styleId="WW8Num4z40">
    <w:name w:val="WW8Num4z4"/>
    <w:link w:val="WW8Num4z4"/>
    <w:qFormat/>
  </w:style>
  <w:style w:type="paragraph" w:customStyle="1" w:styleId="WW8Num8z10">
    <w:name w:val="WW8Num8z1"/>
    <w:link w:val="WW8Num8z1"/>
    <w:qFormat/>
  </w:style>
  <w:style w:type="paragraph" w:customStyle="1" w:styleId="WW8Num3z30">
    <w:name w:val="WW8Num3z3"/>
    <w:link w:val="WW8Num3z3"/>
    <w:qFormat/>
  </w:style>
  <w:style w:type="paragraph" w:customStyle="1" w:styleId="WW8Num7z10">
    <w:name w:val="WW8Num7z1"/>
    <w:link w:val="WW8Num7z1"/>
    <w:qFormat/>
  </w:style>
  <w:style w:type="paragraph" w:customStyle="1" w:styleId="WW8Num4z00">
    <w:name w:val="WW8Num4z0"/>
    <w:link w:val="WW8Num4z0"/>
    <w:qFormat/>
  </w:style>
  <w:style w:type="paragraph" w:styleId="ab">
    <w:name w:val="annotation subject"/>
    <w:basedOn w:val="17"/>
    <w:next w:val="17"/>
    <w:link w:val="15"/>
    <w:qFormat/>
    <w:rPr>
      <w:b/>
    </w:rPr>
  </w:style>
  <w:style w:type="paragraph" w:customStyle="1" w:styleId="WW8Num7z70">
    <w:name w:val="WW8Num7z7"/>
    <w:link w:val="WW8Num7z7"/>
    <w:qFormat/>
  </w:style>
  <w:style w:type="paragraph" w:customStyle="1" w:styleId="WW8Num2z80">
    <w:name w:val="WW8Num2z8"/>
    <w:link w:val="WW8Num2z8"/>
    <w:qFormat/>
  </w:style>
  <w:style w:type="paragraph" w:customStyle="1" w:styleId="WW8Num8z20">
    <w:name w:val="WW8Num8z2"/>
    <w:link w:val="WW8Num8z2"/>
    <w:qFormat/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a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2z60">
    <w:name w:val="WW8Num2z6"/>
    <w:link w:val="WW8Num2z6"/>
    <w:qFormat/>
  </w:style>
  <w:style w:type="paragraph" w:customStyle="1" w:styleId="afc">
    <w:name w:val="Колонтитул"/>
    <w:qFormat/>
    <w:pPr>
      <w:jc w:val="both"/>
    </w:pPr>
    <w:rPr>
      <w:rFonts w:ascii="XO Thames" w:hAnsi="XO Thames"/>
    </w:rPr>
  </w:style>
  <w:style w:type="paragraph" w:customStyle="1" w:styleId="17">
    <w:name w:val="Текст примечания1"/>
    <w:basedOn w:val="a"/>
    <w:link w:val="16"/>
    <w:qFormat/>
    <w:rPr>
      <w:sz w:val="20"/>
    </w:rPr>
  </w:style>
  <w:style w:type="paragraph" w:customStyle="1" w:styleId="WW8Num7z80">
    <w:name w:val="WW8Num7z8"/>
    <w:link w:val="WW8Num7z8"/>
    <w:qFormat/>
  </w:style>
  <w:style w:type="paragraph" w:customStyle="1" w:styleId="WW8Num7z40">
    <w:name w:val="WW8Num7z4"/>
    <w:link w:val="WW8Num7z4"/>
    <w:qFormat/>
  </w:style>
  <w:style w:type="paragraph" w:customStyle="1" w:styleId="WW8Num7z30">
    <w:name w:val="WW8Num7z3"/>
    <w:link w:val="WW8Num7z3"/>
    <w:qFormat/>
  </w:style>
  <w:style w:type="paragraph" w:styleId="ae">
    <w:name w:val="Balloon Text"/>
    <w:basedOn w:val="a"/>
    <w:link w:val="ad"/>
    <w:qFormat/>
    <w:rPr>
      <w:rFonts w:ascii="Tahoma" w:hAnsi="Tahoma"/>
      <w:sz w:val="16"/>
    </w:rPr>
  </w:style>
  <w:style w:type="paragraph" w:customStyle="1" w:styleId="WW8Num2z10">
    <w:name w:val="WW8Num2z1"/>
    <w:link w:val="WW8Num2z1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af0">
    <w:name w:val="Тема примечания Знак"/>
    <w:link w:val="af"/>
    <w:qFormat/>
    <w:rPr>
      <w:b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WW8Num3z00">
    <w:name w:val="WW8Num3z0"/>
    <w:link w:val="WW8Num3z0"/>
    <w:qFormat/>
  </w:style>
  <w:style w:type="paragraph" w:customStyle="1" w:styleId="WW8Num8z60">
    <w:name w:val="WW8Num8z6"/>
    <w:link w:val="WW8Num8z6"/>
    <w:qFormat/>
  </w:style>
  <w:style w:type="paragraph" w:customStyle="1" w:styleId="WW8Num3z50">
    <w:name w:val="WW8Num3z5"/>
    <w:link w:val="WW8Num3z5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4z70">
    <w:name w:val="WW8Num4z7"/>
    <w:link w:val="WW8Num4z7"/>
    <w:qFormat/>
  </w:style>
  <w:style w:type="paragraph" w:customStyle="1" w:styleId="WW8Num9z10">
    <w:name w:val="WW8Num9z1"/>
    <w:link w:val="WW8Num9z1"/>
    <w:qFormat/>
    <w:rPr>
      <w:rFonts w:ascii="Courier New" w:hAnsi="Courier New"/>
    </w:rPr>
  </w:style>
  <w:style w:type="paragraph" w:customStyle="1" w:styleId="WW8Num1z10">
    <w:name w:val="WW8Num1z1"/>
    <w:link w:val="WW8Num1z1"/>
    <w:qFormat/>
  </w:style>
  <w:style w:type="paragraph" w:customStyle="1" w:styleId="WW8Num3z60">
    <w:name w:val="WW8Num3z6"/>
    <w:link w:val="WW8Num3z6"/>
    <w:qFormat/>
  </w:style>
  <w:style w:type="paragraph" w:customStyle="1" w:styleId="WW8Num4z50">
    <w:name w:val="WW8Num4z5"/>
    <w:link w:val="WW8Num4z5"/>
    <w:qFormat/>
  </w:style>
  <w:style w:type="paragraph" w:styleId="afd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3z80">
    <w:name w:val="WW8Num3z8"/>
    <w:link w:val="WW8Num3z8"/>
    <w:qFormat/>
  </w:style>
  <w:style w:type="paragraph" w:customStyle="1" w:styleId="WW8Num9z00">
    <w:name w:val="WW8Num9z0"/>
    <w:link w:val="WW8Num9z0"/>
    <w:qFormat/>
  </w:style>
  <w:style w:type="paragraph" w:customStyle="1" w:styleId="WW8Num6z70">
    <w:name w:val="WW8Num6z7"/>
    <w:link w:val="WW8Num6z7"/>
    <w:qFormat/>
  </w:style>
  <w:style w:type="paragraph" w:customStyle="1" w:styleId="WW8Num2z70">
    <w:name w:val="WW8Num2z7"/>
    <w:link w:val="WW8Num2z7"/>
    <w:qFormat/>
  </w:style>
  <w:style w:type="paragraph" w:styleId="afe">
    <w:name w:val="footnote text"/>
    <w:basedOn w:val="a"/>
  </w:style>
  <w:style w:type="paragraph" w:styleId="aff">
    <w:name w:val="header"/>
    <w:basedOn w:val="afc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wyer@niiefa.spb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Стуклов Александр Владимирович</dc:creator>
  <cp:lastModifiedBy>Тув Евгения Владимировна</cp:lastModifiedBy>
  <cp:revision>5</cp:revision>
  <dcterms:created xsi:type="dcterms:W3CDTF">2025-08-25T09:56:00Z</dcterms:created>
  <dcterms:modified xsi:type="dcterms:W3CDTF">2025-09-01T11:42:00Z</dcterms:modified>
  <dc:language>ru-RU</dc:language>
</cp:coreProperties>
</file>