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075EA6" w:rsidRDefault="00DC4E25" w:rsidP="004C7243">
      <w:pPr>
        <w:pStyle w:val="PaperTitle"/>
        <w:rPr>
          <w:b w:val="0"/>
          <w:bCs/>
          <w:sz w:val="24"/>
          <w:szCs w:val="24"/>
        </w:rPr>
      </w:pPr>
      <w:r w:rsidRPr="0064229D">
        <w:rPr>
          <w:color w:val="222222"/>
          <w:szCs w:val="36"/>
        </w:rPr>
        <w:t xml:space="preserve">Beam-Plasma System as a Source of Powerful Submillimeter and Terahertz Radiation </w:t>
      </w:r>
      <w:r w:rsidR="00C40605">
        <w:rPr>
          <w:color w:val="222222"/>
          <w:szCs w:val="36"/>
        </w:rPr>
        <w:br/>
      </w:r>
      <w:r w:rsidRPr="0064229D">
        <w:rPr>
          <w:color w:val="222222"/>
          <w:szCs w:val="36"/>
        </w:rPr>
        <w:t xml:space="preserve">(Experimental and Theoretical </w:t>
      </w:r>
      <w:r>
        <w:rPr>
          <w:color w:val="222222"/>
          <w:szCs w:val="36"/>
        </w:rPr>
        <w:t>S</w:t>
      </w:r>
      <w:r w:rsidRPr="0064229D">
        <w:rPr>
          <w:color w:val="222222"/>
          <w:szCs w:val="36"/>
        </w:rPr>
        <w:t>tudies</w:t>
      </w:r>
      <w:r>
        <w:rPr>
          <w:color w:val="222222"/>
          <w:szCs w:val="36"/>
        </w:rPr>
        <w:t>)</w:t>
      </w:r>
    </w:p>
    <w:p w:rsidR="00DC4E25" w:rsidRPr="0064229D" w:rsidRDefault="00DC4E25" w:rsidP="00DC4E25">
      <w:pPr>
        <w:pStyle w:val="AuthorName"/>
      </w:pPr>
      <w:r w:rsidRPr="0064229D">
        <w:t>A.V. Arzhannikov</w:t>
      </w:r>
      <w:r w:rsidRPr="0064229D">
        <w:rPr>
          <w:vertAlign w:val="superscript"/>
        </w:rPr>
        <w:t>1,2</w:t>
      </w:r>
      <w:r w:rsidRPr="00B25CBC">
        <w:rPr>
          <w:vertAlign w:val="superscript"/>
        </w:rPr>
        <w:t xml:space="preserve"> a)</w:t>
      </w:r>
      <w:r w:rsidRPr="0064229D">
        <w:t>, V.V.</w:t>
      </w:r>
      <w:r w:rsidR="00EE3357">
        <w:t xml:space="preserve"> </w:t>
      </w:r>
      <w:r w:rsidRPr="0064229D">
        <w:t>Annenkov</w:t>
      </w:r>
      <w:r w:rsidRPr="0064229D">
        <w:rPr>
          <w:vertAlign w:val="superscript"/>
        </w:rPr>
        <w:t>1,2</w:t>
      </w:r>
      <w:r w:rsidRPr="0064229D">
        <w:t>, A.V. Burdakov</w:t>
      </w:r>
      <w:r w:rsidRPr="0064229D">
        <w:rPr>
          <w:vertAlign w:val="superscript"/>
        </w:rPr>
        <w:t>1,3</w:t>
      </w:r>
      <w:r w:rsidRPr="0064229D">
        <w:t>, V.S. Burmasov</w:t>
      </w:r>
      <w:r w:rsidRPr="0064229D">
        <w:rPr>
          <w:vertAlign w:val="superscript"/>
        </w:rPr>
        <w:t>1,2</w:t>
      </w:r>
      <w:r w:rsidRPr="0064229D">
        <w:t xml:space="preserve">, </w:t>
      </w:r>
      <w:r>
        <w:br/>
      </w:r>
      <w:r w:rsidRPr="0064229D">
        <w:t>I.A. Ivanov</w:t>
      </w:r>
      <w:r w:rsidRPr="0064229D">
        <w:rPr>
          <w:vertAlign w:val="superscript"/>
        </w:rPr>
        <w:t>1,2</w:t>
      </w:r>
      <w:r w:rsidRPr="0064229D">
        <w:t>,  A.A. Kasatov</w:t>
      </w:r>
      <w:r w:rsidRPr="0064229D">
        <w:rPr>
          <w:vertAlign w:val="superscript"/>
        </w:rPr>
        <w:t>1,2</w:t>
      </w:r>
      <w:r w:rsidRPr="0064229D">
        <w:t>, S.A. Kuznetsov</w:t>
      </w:r>
      <w:r w:rsidRPr="0064229D">
        <w:rPr>
          <w:vertAlign w:val="superscript"/>
        </w:rPr>
        <w:t>1,2</w:t>
      </w:r>
      <w:r w:rsidRPr="0064229D">
        <w:t>, M. A. Makarov</w:t>
      </w:r>
      <w:r w:rsidRPr="0064229D">
        <w:rPr>
          <w:vertAlign w:val="superscript"/>
        </w:rPr>
        <w:t>1</w:t>
      </w:r>
      <w:r w:rsidRPr="0064229D">
        <w:t>, K. I. Mekler</w:t>
      </w:r>
      <w:r w:rsidRPr="0064229D">
        <w:rPr>
          <w:vertAlign w:val="superscript"/>
        </w:rPr>
        <w:t>1</w:t>
      </w:r>
      <w:r w:rsidRPr="0064229D">
        <w:t>, S. V. Polosatkin</w:t>
      </w:r>
      <w:r w:rsidRPr="0064229D">
        <w:rPr>
          <w:vertAlign w:val="superscript"/>
        </w:rPr>
        <w:t>1,3</w:t>
      </w:r>
      <w:r w:rsidRPr="0064229D">
        <w:t xml:space="preserve">, </w:t>
      </w:r>
      <w:r>
        <w:t>V</w:t>
      </w:r>
      <w:r w:rsidRPr="0064229D">
        <w:t>.V. Postupaev</w:t>
      </w:r>
      <w:r w:rsidRPr="0064229D">
        <w:rPr>
          <w:vertAlign w:val="superscript"/>
        </w:rPr>
        <w:t>1,2</w:t>
      </w:r>
      <w:r w:rsidRPr="0064229D">
        <w:t>, A.F. Rovenskikh</w:t>
      </w:r>
      <w:r w:rsidRPr="0064229D">
        <w:rPr>
          <w:vertAlign w:val="superscript"/>
        </w:rPr>
        <w:t>1</w:t>
      </w:r>
      <w:r w:rsidRPr="0064229D">
        <w:t>, S.L. Sinitsky</w:t>
      </w:r>
      <w:r w:rsidRPr="0064229D">
        <w:rPr>
          <w:vertAlign w:val="superscript"/>
        </w:rPr>
        <w:t>1,2</w:t>
      </w:r>
      <w:r w:rsidRPr="0064229D">
        <w:t>, V.F. Sklyarov</w:t>
      </w:r>
      <w:r w:rsidRPr="0064229D">
        <w:rPr>
          <w:vertAlign w:val="superscript"/>
        </w:rPr>
        <w:t>1</w:t>
      </w:r>
      <w:r w:rsidRPr="0064229D">
        <w:t>, V.D. Stepanov</w:t>
      </w:r>
      <w:r w:rsidRPr="0064229D">
        <w:rPr>
          <w:vertAlign w:val="superscript"/>
        </w:rPr>
        <w:t>1,2</w:t>
      </w:r>
      <w:r w:rsidRPr="0064229D">
        <w:t xml:space="preserve">, </w:t>
      </w:r>
      <w:r w:rsidRPr="0064229D">
        <w:rPr>
          <w:lang w:val="en-GB"/>
        </w:rPr>
        <w:t>I.V. Timofeev</w:t>
      </w:r>
      <w:r w:rsidRPr="0064229D">
        <w:rPr>
          <w:vertAlign w:val="superscript"/>
          <w:lang w:val="en-GB"/>
        </w:rPr>
        <w:t>1,2</w:t>
      </w:r>
      <w:r w:rsidRPr="0064229D">
        <w:t>,</w:t>
      </w:r>
      <w:r w:rsidRPr="0064229D">
        <w:rPr>
          <w:lang w:val="en-GB"/>
        </w:rPr>
        <w:t xml:space="preserve"> </w:t>
      </w:r>
      <w:r w:rsidRPr="0064229D">
        <w:t>and M. K. A. Thumm</w:t>
      </w:r>
      <w:r w:rsidRPr="0064229D">
        <w:rPr>
          <w:vertAlign w:val="superscript"/>
        </w:rPr>
        <w:t>2</w:t>
      </w:r>
    </w:p>
    <w:p w:rsidR="00DC4E25" w:rsidRPr="0064229D" w:rsidRDefault="00EF6940" w:rsidP="00DC4E25">
      <w:pPr>
        <w:pStyle w:val="AuthorAffiliation"/>
        <w:rPr>
          <w:bCs/>
          <w:vertAlign w:val="superscript"/>
        </w:rPr>
      </w:pPr>
      <w:r w:rsidRPr="00075EA6">
        <w:rPr>
          <w:iCs/>
          <w:vertAlign w:val="superscript"/>
        </w:rPr>
        <w:t>1</w:t>
      </w:r>
      <w:r w:rsidR="00DC4E25" w:rsidRPr="0064229D">
        <w:rPr>
          <w:vertAlign w:val="superscript"/>
        </w:rPr>
        <w:t>1</w:t>
      </w:r>
      <w:r w:rsidR="00DC4E25" w:rsidRPr="0064229D">
        <w:t>Budker Institute of Nuclear Physics SB RAS</w:t>
      </w:r>
    </w:p>
    <w:p w:rsidR="00DC4E25" w:rsidRPr="0064229D" w:rsidRDefault="00DC4E25" w:rsidP="00DC4E25">
      <w:pPr>
        <w:pStyle w:val="AuthorAffiliation"/>
        <w:rPr>
          <w:color w:val="222222"/>
        </w:rPr>
      </w:pPr>
      <w:r w:rsidRPr="0064229D">
        <w:rPr>
          <w:bCs/>
          <w:vertAlign w:val="superscript"/>
        </w:rPr>
        <w:t>2</w:t>
      </w:r>
      <w:r w:rsidRPr="0064229D">
        <w:rPr>
          <w:color w:val="222222"/>
        </w:rPr>
        <w:t>Novosibirsk State University</w:t>
      </w:r>
    </w:p>
    <w:p w:rsidR="00DC4E25" w:rsidRDefault="00DC4E25" w:rsidP="00DC4E25">
      <w:pPr>
        <w:pStyle w:val="AuthorAffiliation"/>
        <w:rPr>
          <w:color w:val="222222"/>
        </w:rPr>
      </w:pPr>
      <w:r w:rsidRPr="0064229D">
        <w:rPr>
          <w:bCs/>
          <w:vertAlign w:val="superscript"/>
        </w:rPr>
        <w:t>3</w:t>
      </w:r>
      <w:r w:rsidRPr="0064229D">
        <w:rPr>
          <w:color w:val="222222"/>
        </w:rPr>
        <w:t>Novosibirsk State Technical University</w:t>
      </w:r>
      <w:bookmarkStart w:id="0" w:name="_GoBack"/>
      <w:bookmarkEnd w:id="0"/>
    </w:p>
    <w:p w:rsidR="00DC4E25" w:rsidRPr="00075EA6" w:rsidRDefault="003A5C85" w:rsidP="00DC4E25">
      <w:pPr>
        <w:pStyle w:val="AuthorEmail"/>
      </w:pPr>
      <w:r w:rsidRPr="00075EA6">
        <w:br/>
      </w:r>
      <w:proofErr w:type="gramStart"/>
      <w:r w:rsidR="00DC4E25" w:rsidRPr="00075EA6">
        <w:rPr>
          <w:szCs w:val="28"/>
          <w:vertAlign w:val="superscript"/>
        </w:rPr>
        <w:t>a</w:t>
      </w:r>
      <w:proofErr w:type="gramEnd"/>
      <w:r w:rsidR="00DC4E25" w:rsidRPr="00075EA6">
        <w:rPr>
          <w:szCs w:val="28"/>
          <w:vertAlign w:val="superscript"/>
        </w:rPr>
        <w:t>)</w:t>
      </w:r>
      <w:r w:rsidR="00DC4E25" w:rsidRPr="00075EA6">
        <w:t xml:space="preserve"> </w:t>
      </w:r>
      <w:r w:rsidR="00DC4E25">
        <w:t>a.v.arzhannikov@inp.nsk.su</w:t>
      </w:r>
    </w:p>
    <w:p w:rsidR="0016385D" w:rsidRPr="00075EA6" w:rsidRDefault="0016385D" w:rsidP="005F7475">
      <w:pPr>
        <w:pStyle w:val="Abstract"/>
      </w:pPr>
      <w:r w:rsidRPr="00075EA6">
        <w:rPr>
          <w:b/>
          <w:bCs/>
        </w:rPr>
        <w:t>Abstract.</w:t>
      </w:r>
      <w:r w:rsidRPr="00075EA6">
        <w:t xml:space="preserve"> </w:t>
      </w:r>
      <w:r w:rsidR="00DC4E25">
        <w:rPr>
          <w:szCs w:val="18"/>
        </w:rPr>
        <w:t>T</w:t>
      </w:r>
      <w:r w:rsidR="00DC4E25" w:rsidRPr="0064229D">
        <w:rPr>
          <w:color w:val="222222"/>
          <w:szCs w:val="18"/>
        </w:rPr>
        <w:t xml:space="preserve">he processes </w:t>
      </w:r>
      <w:r w:rsidR="00DC4E25">
        <w:rPr>
          <w:color w:val="222222"/>
          <w:szCs w:val="18"/>
        </w:rPr>
        <w:t xml:space="preserve">of </w:t>
      </w:r>
      <w:r w:rsidR="00DC4E25" w:rsidRPr="0064229D">
        <w:rPr>
          <w:color w:val="222222"/>
          <w:szCs w:val="18"/>
        </w:rPr>
        <w:t xml:space="preserve">plasma wave transformation </w:t>
      </w:r>
      <w:r w:rsidR="00DC4E25">
        <w:rPr>
          <w:color w:val="222222"/>
          <w:szCs w:val="18"/>
        </w:rPr>
        <w:t xml:space="preserve">into </w:t>
      </w:r>
      <w:r w:rsidR="00DC4E25" w:rsidRPr="0064229D">
        <w:rPr>
          <w:color w:val="222222"/>
          <w:szCs w:val="18"/>
        </w:rPr>
        <w:t>electromagnetic radiation</w:t>
      </w:r>
      <w:r w:rsidR="00DC4E25">
        <w:rPr>
          <w:color w:val="222222"/>
          <w:szCs w:val="18"/>
        </w:rPr>
        <w:t xml:space="preserve"> during strong interaction of a relativistic electron beam with magnetized plasma are studied in BINP in collaboration with NSU. Since 2010, </w:t>
      </w:r>
      <w:r w:rsidR="00DC4E25" w:rsidRPr="00B9058E">
        <w:rPr>
          <w:color w:val="222222"/>
          <w:szCs w:val="18"/>
        </w:rPr>
        <w:t>experiment</w:t>
      </w:r>
      <w:r w:rsidR="00DC4E25">
        <w:rPr>
          <w:color w:val="222222"/>
          <w:szCs w:val="18"/>
        </w:rPr>
        <w:t xml:space="preserve">al studies </w:t>
      </w:r>
      <w:r w:rsidR="00DC4E25" w:rsidRPr="00B9058E">
        <w:rPr>
          <w:color w:val="222222"/>
          <w:szCs w:val="18"/>
        </w:rPr>
        <w:t xml:space="preserve">on </w:t>
      </w:r>
      <w:r w:rsidR="00DC4E25">
        <w:rPr>
          <w:color w:val="222222"/>
          <w:szCs w:val="18"/>
        </w:rPr>
        <w:t xml:space="preserve">such </w:t>
      </w:r>
      <w:r w:rsidR="00DC4E25" w:rsidRPr="00B9058E">
        <w:rPr>
          <w:color w:val="222222"/>
          <w:szCs w:val="18"/>
        </w:rPr>
        <w:t>transformation processes</w:t>
      </w:r>
      <w:r w:rsidR="00DC4E25" w:rsidRPr="00D77179">
        <w:rPr>
          <w:color w:val="222222"/>
          <w:szCs w:val="18"/>
        </w:rPr>
        <w:t xml:space="preserve"> were </w:t>
      </w:r>
      <w:r w:rsidR="00DC4E25">
        <w:rPr>
          <w:color w:val="222222"/>
          <w:szCs w:val="18"/>
        </w:rPr>
        <w:t xml:space="preserve">carried out </w:t>
      </w:r>
      <w:r w:rsidR="00DC4E25" w:rsidRPr="00D77179">
        <w:rPr>
          <w:color w:val="222222"/>
          <w:szCs w:val="18"/>
        </w:rPr>
        <w:t>on the GOL-3 facility</w:t>
      </w:r>
      <w:r w:rsidR="00DC4E25">
        <w:rPr>
          <w:color w:val="222222"/>
          <w:szCs w:val="18"/>
        </w:rPr>
        <w:t xml:space="preserve"> by measuring the radiation emitted from beam-plasma system. </w:t>
      </w:r>
      <w:r w:rsidR="00DC4E25" w:rsidRPr="00300A43">
        <w:rPr>
          <w:color w:val="222222"/>
          <w:szCs w:val="18"/>
        </w:rPr>
        <w:t xml:space="preserve">Then after 2014 the GOL-PET device is used for these studies. Results of these experiments on emission in the frequency interval 0.1-0.5 THz from a long plasma column due to E-beam injection are described in the presented paper. The experimental results </w:t>
      </w:r>
      <w:r w:rsidR="00DC4E25">
        <w:rPr>
          <w:color w:val="222222"/>
          <w:szCs w:val="18"/>
        </w:rPr>
        <w:t xml:space="preserve">have been </w:t>
      </w:r>
      <w:r w:rsidR="00DC4E25" w:rsidRPr="00300A43">
        <w:rPr>
          <w:color w:val="222222"/>
          <w:szCs w:val="18"/>
        </w:rPr>
        <w:t>comp</w:t>
      </w:r>
      <w:r w:rsidR="00DC4E25">
        <w:rPr>
          <w:color w:val="222222"/>
          <w:szCs w:val="18"/>
        </w:rPr>
        <w:t xml:space="preserve">ared </w:t>
      </w:r>
      <w:r w:rsidR="00DC4E25" w:rsidRPr="00300A43">
        <w:rPr>
          <w:color w:val="222222"/>
          <w:szCs w:val="18"/>
        </w:rPr>
        <w:t>with theoretical ones obtained for EM-wave generation by the beam-plasma system.</w:t>
      </w:r>
    </w:p>
    <w:p w:rsidR="003A287B" w:rsidRPr="00075EA6" w:rsidRDefault="00DC4E25" w:rsidP="00B1000D">
      <w:pPr>
        <w:pStyle w:val="1"/>
        <w:rPr>
          <w:b w:val="0"/>
          <w:caps w:val="0"/>
          <w:sz w:val="20"/>
        </w:rPr>
      </w:pPr>
      <w:r>
        <w:t>INTRODUCTION</w:t>
      </w:r>
      <w:r w:rsidRPr="00075EA6">
        <w:rPr>
          <w:b w:val="0"/>
          <w:caps w:val="0"/>
          <w:sz w:val="20"/>
        </w:rPr>
        <w:t xml:space="preserve"> </w:t>
      </w:r>
    </w:p>
    <w:p w:rsidR="00DC4E25" w:rsidRDefault="00DC4E25" w:rsidP="00C40605">
      <w:pPr>
        <w:pStyle w:val="Paragraph"/>
      </w:pPr>
      <w:r w:rsidRPr="001B3A07">
        <w:t xml:space="preserve">From one hand, beam-plasma systems widely exist in the outer space as sources of EM-waves. The EM-wave flows from such sources were measured and interpreted by astrophysics researchers since the middle of the last century [1, 2]. To verify astrophysical models of various mechanisms of the EM-wave generation in space plasma, supporting laboratory beam-plasma experiments are carried out. From other hand, such beam-plasma systems are very attractive for the development of generators of radiation in millimeter and submillimeter ranges </w:t>
      </w:r>
      <w:r w:rsidRPr="001B3A07">
        <w:rPr>
          <w:lang w:val="en"/>
        </w:rPr>
        <w:t>[3, 4].</w:t>
      </w:r>
      <w:r w:rsidRPr="001B3A07">
        <w:rPr>
          <w:rFonts w:ascii="Arial" w:hAnsi="Arial" w:cs="Arial"/>
          <w:lang w:val="en"/>
        </w:rPr>
        <w:t xml:space="preserve"> M</w:t>
      </w:r>
      <w:r w:rsidRPr="001B3A07">
        <w:rPr>
          <w:rStyle w:val="shorttext"/>
          <w:color w:val="222222"/>
          <w:lang w:val="en"/>
        </w:rPr>
        <w:t xml:space="preserve">otivated </w:t>
      </w:r>
      <w:r w:rsidRPr="00DC4E25">
        <w:rPr>
          <w:rStyle w:val="alt-edited1"/>
          <w:color w:val="000000" w:themeColor="text1"/>
          <w:lang w:val="en"/>
        </w:rPr>
        <w:t xml:space="preserve">by these circumstances, we study the systems in </w:t>
      </w:r>
      <w:r w:rsidRPr="00DC4E25">
        <w:rPr>
          <w:color w:val="000000" w:themeColor="text1"/>
        </w:rPr>
        <w:t>laboratory experiments</w:t>
      </w:r>
      <w:r w:rsidRPr="00DC4E25">
        <w:rPr>
          <w:rStyle w:val="alt-edited1"/>
          <w:color w:val="000000" w:themeColor="text1"/>
          <w:lang w:val="en"/>
        </w:rPr>
        <w:t xml:space="preserve"> since 70-th of the past century </w:t>
      </w:r>
      <w:r w:rsidRPr="001B3A07">
        <w:rPr>
          <w:lang w:val="en"/>
        </w:rPr>
        <w:t xml:space="preserve">[5]. Past five years this activity was concentrated on </w:t>
      </w:r>
      <w:r w:rsidRPr="001B3A07">
        <w:rPr>
          <w:bCs/>
        </w:rPr>
        <w:t>experiments to study electromagnetic wave emission from the beam-plasma system in the frequency interval 0.1-0.7 THz</w:t>
      </w:r>
      <w:r w:rsidRPr="001B3A07">
        <w:rPr>
          <w:rStyle w:val="alt-edited1"/>
          <w:lang w:val="en"/>
        </w:rPr>
        <w:t xml:space="preserve">. </w:t>
      </w:r>
      <w:r w:rsidRPr="001B3A07">
        <w:t xml:space="preserve">The processes of transformation of plasma waves into electromagnetic radiation during strong interaction of a relativistic electron beam with magnetized plasma was initially studied the GOL-3 facility (see. </w:t>
      </w:r>
      <w:r w:rsidRPr="001B3A07">
        <w:rPr>
          <w:lang w:val="en"/>
        </w:rPr>
        <w:t>[3]).</w:t>
      </w:r>
      <w:r w:rsidRPr="001B3A07">
        <w:t xml:space="preserve"> </w:t>
      </w:r>
      <w:proofErr w:type="gramStart"/>
      <w:r w:rsidRPr="001B3A07">
        <w:t>Since</w:t>
      </w:r>
      <w:proofErr w:type="gramEnd"/>
      <w:r w:rsidRPr="001B3A07">
        <w:t xml:space="preserve"> 2014 these studies are continued at the GOL-PET device [4]. The experimental research is accompanied by theoretical investigations at appropriate the beam and plasma parameters [5, 6]. The presented paper describes results of the experiments for the EM-wave emission from the beam-plasma system in the frequency interval 0.1-0.5 THz and of the theoretical studies for the process of plasma wave transformation into electromagnetic radiation in a frame of analytical models and computer simulations for suitable beam and plasma parameters.</w:t>
      </w:r>
    </w:p>
    <w:p w:rsidR="00DC4E25" w:rsidRPr="00075EA6" w:rsidRDefault="00DC4E25" w:rsidP="00DC4E25">
      <w:pPr>
        <w:pStyle w:val="1"/>
        <w:rPr>
          <w:b w:val="0"/>
          <w:caps w:val="0"/>
          <w:sz w:val="20"/>
        </w:rPr>
      </w:pPr>
      <w:r>
        <w:rPr>
          <w:szCs w:val="24"/>
        </w:rPr>
        <w:lastRenderedPageBreak/>
        <w:t>KEY RESULTS OF GOL-3 EXPERIMENTS</w:t>
      </w:r>
    </w:p>
    <w:p w:rsidR="008276A6" w:rsidRPr="001B3A07" w:rsidRDefault="00DC4E25" w:rsidP="008276A6">
      <w:pPr>
        <w:pStyle w:val="Paragraph"/>
      </w:pPr>
      <w:r w:rsidRPr="00671961">
        <w:t xml:space="preserve">In the experiments </w:t>
      </w:r>
      <w:r>
        <w:t xml:space="preserve">at GOL-3 facility on the beam-plasma interaction, </w:t>
      </w:r>
      <w:r w:rsidRPr="00671961">
        <w:t xml:space="preserve">parameters of the injected beam </w:t>
      </w:r>
      <w:r>
        <w:t xml:space="preserve">were </w:t>
      </w:r>
      <w:r w:rsidRPr="00671961">
        <w:t xml:space="preserve">the following: the electron energy </w:t>
      </w:r>
      <w:proofErr w:type="spellStart"/>
      <w:r w:rsidRPr="00671961">
        <w:t>E</w:t>
      </w:r>
      <w:r w:rsidRPr="00671961">
        <w:rPr>
          <w:vertAlign w:val="subscript"/>
        </w:rPr>
        <w:t>e</w:t>
      </w:r>
      <w:proofErr w:type="spellEnd"/>
      <w:r w:rsidRPr="00671961">
        <w:t xml:space="preserve"> = 0</w:t>
      </w:r>
      <w:proofErr w:type="gramStart"/>
      <w:r w:rsidRPr="00671961">
        <w:t>,6</w:t>
      </w:r>
      <w:proofErr w:type="gramEnd"/>
      <w:r w:rsidRPr="00671961">
        <w:t xml:space="preserve"> to 0,8 MeV, the beam current </w:t>
      </w:r>
      <w:proofErr w:type="spellStart"/>
      <w:r w:rsidRPr="00671961">
        <w:t>I</w:t>
      </w:r>
      <w:r w:rsidRPr="00671961">
        <w:rPr>
          <w:vertAlign w:val="subscript"/>
        </w:rPr>
        <w:t>e</w:t>
      </w:r>
      <w:proofErr w:type="spellEnd"/>
      <w:r w:rsidRPr="00671961">
        <w:t xml:space="preserve"> = 10 to 30 kA, the duration of the beam injection t~10 </w:t>
      </w:r>
      <w:r w:rsidRPr="00CC1480">
        <w:t>µs</w:t>
      </w:r>
      <w:r w:rsidRPr="00671961">
        <w:t>, the beam energy content in the beam pulse Q ~130 kJ [20].</w:t>
      </w:r>
      <w:r>
        <w:t xml:space="preserve"> A plasma column had a diameter about of 8 cm and a length about of 14 m. </w:t>
      </w:r>
      <w:r w:rsidRPr="00C23A12">
        <w:t>In the first series of the experiments carried out for the plasma density of a few units of 10</w:t>
      </w:r>
      <w:r w:rsidRPr="00897036">
        <w:rPr>
          <w:vertAlign w:val="superscript"/>
        </w:rPr>
        <w:t>14</w:t>
      </w:r>
      <w:r w:rsidRPr="00C23A12">
        <w:t xml:space="preserve"> cm</w:t>
      </w:r>
      <w:r w:rsidRPr="00897036">
        <w:rPr>
          <w:vertAlign w:val="superscript"/>
        </w:rPr>
        <w:t>-3</w:t>
      </w:r>
      <w:r w:rsidRPr="00C23A12">
        <w:t>, it was found that emitted pulses of mm-waves and sub-terahertz radiation by the beam-plasma system continued 1-3 µs from the beam injection beginning, as a rule, and the most part of the emission was concentrated in the first two meters of the beam way along the plasma column [</w:t>
      </w:r>
      <w:r>
        <w:t>3</w:t>
      </w:r>
      <w:r w:rsidRPr="00C23A12">
        <w:t>]</w:t>
      </w:r>
      <w:r w:rsidR="008276A6">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276A6" w:rsidTr="008276A6">
        <w:trPr>
          <w:trHeight w:val="2695"/>
        </w:trPr>
        <w:tc>
          <w:tcPr>
            <w:tcW w:w="9576" w:type="dxa"/>
          </w:tcPr>
          <w:p w:rsidR="008276A6" w:rsidRDefault="008276A6" w:rsidP="00677061">
            <w:pPr>
              <w:pStyle w:val="Paragraph"/>
              <w:ind w:firstLine="0"/>
              <w:jc w:val="center"/>
            </w:pPr>
            <w:r>
              <w:rPr>
                <w:noProof/>
                <w:lang w:val="ru-RU" w:eastAsia="ru-RU"/>
              </w:rPr>
              <w:drawing>
                <wp:inline distT="0" distB="0" distL="0" distR="0" wp14:anchorId="30D8BE40" wp14:editId="060763B0">
                  <wp:extent cx="4425315" cy="17595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315" cy="1759585"/>
                          </a:xfrm>
                          <a:prstGeom prst="rect">
                            <a:avLst/>
                          </a:prstGeom>
                          <a:noFill/>
                          <a:ln>
                            <a:noFill/>
                          </a:ln>
                        </pic:spPr>
                      </pic:pic>
                    </a:graphicData>
                  </a:graphic>
                </wp:inline>
              </w:drawing>
            </w:r>
          </w:p>
        </w:tc>
      </w:tr>
    </w:tbl>
    <w:p w:rsidR="008276A6" w:rsidRPr="00574405" w:rsidRDefault="008276A6" w:rsidP="008276A6">
      <w:pPr>
        <w:pStyle w:val="FigureCaption"/>
        <w:rPr>
          <w:sz w:val="20"/>
        </w:rPr>
      </w:pPr>
      <w:proofErr w:type="gramStart"/>
      <w:r>
        <w:rPr>
          <w:b/>
          <w:caps/>
        </w:rPr>
        <w:t>Figure 1.</w:t>
      </w:r>
      <w:proofErr w:type="gramEnd"/>
      <w:r>
        <w:t xml:space="preserve"> </w:t>
      </w:r>
      <w:r w:rsidRPr="000C45DF">
        <w:rPr>
          <w:color w:val="000000"/>
          <w:szCs w:val="18"/>
        </w:rPr>
        <w:t>Schematic drawing of the GOL-3 experiments</w:t>
      </w:r>
      <w:r>
        <w:rPr>
          <w:color w:val="000000"/>
          <w:szCs w:val="18"/>
        </w:rPr>
        <w:t xml:space="preserve"> on emission of sub-mm waves and terahertz radiation</w:t>
      </w:r>
    </w:p>
    <w:p w:rsidR="00DC4E25" w:rsidRPr="001B3A07" w:rsidRDefault="00DC4E25" w:rsidP="008276A6">
      <w:pPr>
        <w:pStyle w:val="Paragraph"/>
      </w:pPr>
    </w:p>
    <w:p w:rsidR="00B1000D" w:rsidRDefault="008276A6" w:rsidP="008276A6">
      <w:pPr>
        <w:pStyle w:val="Paragraph"/>
      </w:pPr>
      <w:r>
        <w:t>Taking into account these experimental results we placed main part of the diagnostics for measuring the plasma, E-beam and radiation parameters exactly along these two meters of the plasma column. Schematic of this part of</w:t>
      </w:r>
      <w:r w:rsidRPr="008C61CA">
        <w:t xml:space="preserve"> GOL-3 </w:t>
      </w:r>
      <w:r>
        <w:t xml:space="preserve">facility exploited for the </w:t>
      </w:r>
      <w:r w:rsidRPr="008C61CA">
        <w:t xml:space="preserve">generation of sub-terahertz radiation </w:t>
      </w:r>
      <w:r>
        <w:t>due to beam-plasma interaction is presented i</w:t>
      </w:r>
      <w:r w:rsidRPr="008C61CA">
        <w:t>n</w:t>
      </w:r>
      <w:r>
        <w:t xml:space="preserve"> Fig. 1.</w:t>
      </w:r>
      <w:r w:rsidRPr="008C61CA">
        <w:t xml:space="preserve"> </w:t>
      </w:r>
    </w:p>
    <w:p w:rsidR="00C40605" w:rsidRDefault="00C40605" w:rsidP="008276A6">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1BC6" w:rsidTr="00C40605">
        <w:trPr>
          <w:trHeight w:val="279"/>
        </w:trPr>
        <w:tc>
          <w:tcPr>
            <w:tcW w:w="4788" w:type="dxa"/>
          </w:tcPr>
          <w:p w:rsidR="00A41BC6" w:rsidRPr="00C40605" w:rsidRDefault="00A41BC6" w:rsidP="00C40605">
            <w:pPr>
              <w:pStyle w:val="Paragraph"/>
              <w:jc w:val="left"/>
              <w:rPr>
                <w:i/>
              </w:rPr>
            </w:pPr>
            <w:r w:rsidRPr="00C40605">
              <w:rPr>
                <w:i/>
              </w:rPr>
              <w:t>a)</w:t>
            </w:r>
          </w:p>
        </w:tc>
        <w:tc>
          <w:tcPr>
            <w:tcW w:w="4788" w:type="dxa"/>
            <w:vMerge w:val="restart"/>
          </w:tcPr>
          <w:p w:rsidR="00A41BC6" w:rsidRDefault="00A41BC6" w:rsidP="00677061">
            <w:pPr>
              <w:pStyle w:val="Paragraph"/>
              <w:jc w:val="center"/>
            </w:pPr>
            <w:r>
              <w:rPr>
                <w:noProof/>
                <w:color w:val="222222"/>
                <w:lang w:val="ru-RU" w:eastAsia="ru-RU"/>
              </w:rPr>
              <w:drawing>
                <wp:inline distT="0" distB="0" distL="0" distR="0" wp14:anchorId="36B087AC" wp14:editId="2D519D3D">
                  <wp:extent cx="2803525" cy="2967355"/>
                  <wp:effectExtent l="0" t="0" r="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t="2444"/>
                          <a:stretch>
                            <a:fillRect/>
                          </a:stretch>
                        </pic:blipFill>
                        <pic:spPr bwMode="auto">
                          <a:xfrm>
                            <a:off x="0" y="0"/>
                            <a:ext cx="2803525" cy="2967355"/>
                          </a:xfrm>
                          <a:prstGeom prst="rect">
                            <a:avLst/>
                          </a:prstGeom>
                          <a:noFill/>
                          <a:ln>
                            <a:noFill/>
                          </a:ln>
                        </pic:spPr>
                      </pic:pic>
                    </a:graphicData>
                  </a:graphic>
                </wp:inline>
              </w:drawing>
            </w:r>
          </w:p>
        </w:tc>
      </w:tr>
      <w:tr w:rsidR="00A41BC6" w:rsidTr="00C40605">
        <w:trPr>
          <w:trHeight w:val="181"/>
        </w:trPr>
        <w:tc>
          <w:tcPr>
            <w:tcW w:w="4788" w:type="dxa"/>
          </w:tcPr>
          <w:p w:rsidR="00A41BC6" w:rsidRPr="00A41BC6" w:rsidRDefault="00A41BC6" w:rsidP="00677061">
            <w:pPr>
              <w:pStyle w:val="Paragraph"/>
              <w:ind w:firstLine="0"/>
              <w:jc w:val="center"/>
            </w:pPr>
            <w:r>
              <w:rPr>
                <w:noProof/>
                <w:lang w:val="ru-RU" w:eastAsia="ru-RU"/>
              </w:rPr>
              <w:t xml:space="preserve"> </w:t>
            </w:r>
            <w:r>
              <w:rPr>
                <w:noProof/>
                <w:lang w:val="ru-RU" w:eastAsia="ru-RU"/>
              </w:rPr>
              <w:drawing>
                <wp:inline distT="0" distB="0" distL="0" distR="0" wp14:anchorId="79B16916" wp14:editId="2619626F">
                  <wp:extent cx="2363470" cy="1311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958" t="-1088" b="-4190"/>
                          <a:stretch>
                            <a:fillRect/>
                          </a:stretch>
                        </pic:blipFill>
                        <pic:spPr bwMode="auto">
                          <a:xfrm>
                            <a:off x="0" y="0"/>
                            <a:ext cx="2363470" cy="1311275"/>
                          </a:xfrm>
                          <a:prstGeom prst="rect">
                            <a:avLst/>
                          </a:prstGeom>
                          <a:noFill/>
                          <a:ln>
                            <a:noFill/>
                          </a:ln>
                        </pic:spPr>
                      </pic:pic>
                    </a:graphicData>
                  </a:graphic>
                </wp:inline>
              </w:drawing>
            </w:r>
          </w:p>
        </w:tc>
        <w:tc>
          <w:tcPr>
            <w:tcW w:w="4788" w:type="dxa"/>
            <w:vMerge/>
          </w:tcPr>
          <w:p w:rsidR="00A41BC6" w:rsidRDefault="00A41BC6" w:rsidP="00677061">
            <w:pPr>
              <w:pStyle w:val="Paragraph"/>
              <w:jc w:val="center"/>
              <w:rPr>
                <w:noProof/>
                <w:lang w:val="ru-RU" w:eastAsia="ru-RU"/>
              </w:rPr>
            </w:pPr>
          </w:p>
        </w:tc>
      </w:tr>
      <w:tr w:rsidR="00A41BC6" w:rsidTr="00C40605">
        <w:trPr>
          <w:trHeight w:val="143"/>
        </w:trPr>
        <w:tc>
          <w:tcPr>
            <w:tcW w:w="4788" w:type="dxa"/>
          </w:tcPr>
          <w:p w:rsidR="00A41BC6" w:rsidRPr="00C40605" w:rsidRDefault="00A41BC6" w:rsidP="00C40605">
            <w:pPr>
              <w:pStyle w:val="Paragraph"/>
              <w:jc w:val="left"/>
              <w:rPr>
                <w:i/>
              </w:rPr>
            </w:pPr>
            <w:r w:rsidRPr="00C40605">
              <w:rPr>
                <w:i/>
              </w:rPr>
              <w:t>b)</w:t>
            </w:r>
          </w:p>
        </w:tc>
        <w:tc>
          <w:tcPr>
            <w:tcW w:w="4788" w:type="dxa"/>
            <w:vMerge/>
          </w:tcPr>
          <w:p w:rsidR="00A41BC6" w:rsidRPr="00A41BC6" w:rsidRDefault="00A41BC6" w:rsidP="00677061">
            <w:pPr>
              <w:pStyle w:val="Paragraph"/>
              <w:ind w:firstLine="0"/>
              <w:jc w:val="center"/>
              <w:rPr>
                <w:noProof/>
                <w:lang w:eastAsia="ru-RU"/>
              </w:rPr>
            </w:pPr>
          </w:p>
        </w:tc>
      </w:tr>
      <w:tr w:rsidR="00A41BC6" w:rsidTr="00C40605">
        <w:trPr>
          <w:trHeight w:val="672"/>
        </w:trPr>
        <w:tc>
          <w:tcPr>
            <w:tcW w:w="4788" w:type="dxa"/>
          </w:tcPr>
          <w:p w:rsidR="00A41BC6" w:rsidRPr="00A41BC6" w:rsidRDefault="00A41BC6" w:rsidP="00EE3357">
            <w:pPr>
              <w:pStyle w:val="Paragraph"/>
              <w:jc w:val="left"/>
            </w:pPr>
            <w:r>
              <w:rPr>
                <w:noProof/>
                <w:lang w:val="ru-RU" w:eastAsia="ru-RU"/>
              </w:rPr>
              <w:drawing>
                <wp:inline distT="0" distB="0" distL="0" distR="0" wp14:anchorId="220E52F8" wp14:editId="1A91A88C">
                  <wp:extent cx="2423795" cy="12592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r="1396"/>
                          <a:stretch>
                            <a:fillRect/>
                          </a:stretch>
                        </pic:blipFill>
                        <pic:spPr bwMode="auto">
                          <a:xfrm>
                            <a:off x="0" y="0"/>
                            <a:ext cx="2423795" cy="1259205"/>
                          </a:xfrm>
                          <a:prstGeom prst="rect">
                            <a:avLst/>
                          </a:prstGeom>
                          <a:noFill/>
                          <a:ln>
                            <a:noFill/>
                          </a:ln>
                        </pic:spPr>
                      </pic:pic>
                    </a:graphicData>
                  </a:graphic>
                </wp:inline>
              </w:drawing>
            </w:r>
          </w:p>
        </w:tc>
        <w:tc>
          <w:tcPr>
            <w:tcW w:w="4788" w:type="dxa"/>
            <w:vMerge/>
          </w:tcPr>
          <w:p w:rsidR="00A41BC6" w:rsidRDefault="00A41BC6" w:rsidP="00677061">
            <w:pPr>
              <w:pStyle w:val="Paragraph"/>
              <w:ind w:firstLine="0"/>
              <w:jc w:val="center"/>
              <w:rPr>
                <w:noProof/>
                <w:lang w:val="ru-RU" w:eastAsia="ru-RU"/>
              </w:rPr>
            </w:pPr>
          </w:p>
        </w:tc>
      </w:tr>
      <w:tr w:rsidR="00A41BC6" w:rsidTr="00C40605">
        <w:trPr>
          <w:trHeight w:val="672"/>
        </w:trPr>
        <w:tc>
          <w:tcPr>
            <w:tcW w:w="4788" w:type="dxa"/>
          </w:tcPr>
          <w:p w:rsidR="00A41BC6" w:rsidRPr="00C40605" w:rsidRDefault="00A41BC6" w:rsidP="00EE3357">
            <w:pPr>
              <w:pStyle w:val="FigureCaption"/>
              <w:ind w:left="142" w:hanging="142"/>
              <w:jc w:val="both"/>
            </w:pPr>
            <w:r w:rsidRPr="00C40605">
              <w:rPr>
                <w:b/>
              </w:rPr>
              <w:t>FIGURE 2</w:t>
            </w:r>
            <w:r w:rsidRPr="00C40605">
              <w:rPr>
                <w:rStyle w:val="a7"/>
                <w:b/>
                <w:color w:val="auto"/>
                <w:u w:val="none"/>
              </w:rPr>
              <w:t>.</w:t>
            </w:r>
            <w:r w:rsidRPr="00C40605">
              <w:rPr>
                <w:rStyle w:val="a7"/>
                <w:color w:val="auto"/>
                <w:u w:val="none"/>
              </w:rPr>
              <w:t xml:space="preserve"> </w:t>
            </w:r>
            <w:r w:rsidRPr="00C40605">
              <w:t>Plasma density distribution over the plasma column diameter (a) and ranges of the upper hybrid frequency and its doubled value for this density distribution (b). The frequency ranges are marked by shaded areas.</w:t>
            </w:r>
          </w:p>
        </w:tc>
        <w:tc>
          <w:tcPr>
            <w:tcW w:w="4788" w:type="dxa"/>
          </w:tcPr>
          <w:p w:rsidR="00A41BC6" w:rsidRPr="00A41BC6" w:rsidRDefault="00A41BC6" w:rsidP="00C40605">
            <w:pPr>
              <w:pStyle w:val="FigureCaption"/>
              <w:rPr>
                <w:noProof/>
                <w:lang w:eastAsia="ru-RU"/>
              </w:rPr>
            </w:pPr>
            <w:r w:rsidRPr="006B6199">
              <w:rPr>
                <w:b/>
              </w:rPr>
              <w:t>FIGURE</w:t>
            </w:r>
            <w:r w:rsidRPr="00CD46A7">
              <w:t xml:space="preserve"> </w:t>
            </w:r>
            <w:r w:rsidRPr="00510943">
              <w:rPr>
                <w:b/>
              </w:rPr>
              <w:t>3.</w:t>
            </w:r>
            <w:r w:rsidRPr="00CD46A7">
              <w:t xml:space="preserve"> Radiation spectra measured for two times from starting the beam injection: (a) - for t=0.5 </w:t>
            </w:r>
            <w:r>
              <w:t>µ</w:t>
            </w:r>
            <w:r w:rsidRPr="00CD46A7">
              <w:t>s and (b) - for t=0.</w:t>
            </w:r>
            <w:r>
              <w:t>75</w:t>
            </w:r>
            <w:r w:rsidRPr="00CD46A7">
              <w:t xml:space="preserve"> </w:t>
            </w:r>
            <w:r>
              <w:t>µ</w:t>
            </w:r>
            <w:r w:rsidRPr="00CD46A7">
              <w:t>s.</w:t>
            </w:r>
          </w:p>
        </w:tc>
      </w:tr>
    </w:tbl>
    <w:p w:rsidR="003F31C6" w:rsidRPr="00AE7500" w:rsidRDefault="003F31C6" w:rsidP="003F31C6">
      <w:pPr>
        <w:pStyle w:val="Paragraphbulleted"/>
        <w:numPr>
          <w:ilvl w:val="0"/>
          <w:numId w:val="0"/>
        </w:numPr>
        <w:ind w:left="1004"/>
      </w:pPr>
    </w:p>
    <w:p w:rsidR="00C40605" w:rsidRDefault="00C40605" w:rsidP="00B1000D">
      <w:pPr>
        <w:pStyle w:val="Paragraph"/>
      </w:pPr>
    </w:p>
    <w:p w:rsidR="00C40605" w:rsidRDefault="00C40605" w:rsidP="00B1000D">
      <w:pPr>
        <w:pStyle w:val="Paragraph"/>
        <w:rPr>
          <w:rStyle w:val="shorttext"/>
          <w:color w:val="222222"/>
          <w:lang w:val="en"/>
        </w:rPr>
      </w:pPr>
      <w:r w:rsidRPr="00510943">
        <w:lastRenderedPageBreak/>
        <w:t>Measurements of plasma density were done by a Michelson interferometer on the wavelength l=10.6 μm at a distance of z</w:t>
      </w:r>
      <w:r w:rsidRPr="00510943">
        <w:rPr>
          <w:vertAlign w:val="subscript"/>
        </w:rPr>
        <w:t>2</w:t>
      </w:r>
      <w:r w:rsidRPr="00510943">
        <w:t xml:space="preserve"> = 83 cm and by a Thompson scattering system with laser radiation on the wavelength l=1.06 μm at a distance of z</w:t>
      </w:r>
      <w:r w:rsidRPr="00510943">
        <w:rPr>
          <w:vertAlign w:val="subscript"/>
        </w:rPr>
        <w:t>3</w:t>
      </w:r>
      <w:r w:rsidRPr="00510943">
        <w:t xml:space="preserve"> = 192 cm from the entrance of the beam into the plasma column. Registration of the sub-terahertz emission from the plasma was carried out in two cross-sections of the plasma column. To record the polarization of the radiation in this range a special device (a polarimeter) was installed at z</w:t>
      </w:r>
      <w:r w:rsidRPr="00510943">
        <w:rPr>
          <w:vertAlign w:val="subscript"/>
        </w:rPr>
        <w:t>1</w:t>
      </w:r>
      <w:r w:rsidRPr="00510943">
        <w:t xml:space="preserve"> = 52 cm. At a distance of z</w:t>
      </w:r>
      <w:r w:rsidRPr="00510943">
        <w:rPr>
          <w:vertAlign w:val="subscript"/>
        </w:rPr>
        <w:t>2</w:t>
      </w:r>
      <w:r w:rsidRPr="00510943">
        <w:t xml:space="preserve"> = 83 cm the measurements were carried out with the help of eight-channel polychromator covering the frequency range 90 – 400 GHz. The detail description of the eight-channel polychromator for terahertz frequency range was already done in [8]. The magnetic field in the cross section, which emission of radiation was registered from, had a value of B = 4.7 Tesla. Diameter of the plasma column, determined by diaphragms and the measured the laser diagnostics was </w:t>
      </w:r>
      <w:proofErr w:type="spellStart"/>
      <w:proofErr w:type="gramStart"/>
      <w:r w:rsidRPr="00510943">
        <w:t>d</w:t>
      </w:r>
      <w:r w:rsidRPr="00510943">
        <w:rPr>
          <w:vertAlign w:val="subscript"/>
        </w:rPr>
        <w:t>p</w:t>
      </w:r>
      <w:proofErr w:type="spellEnd"/>
      <w:proofErr w:type="gramEnd"/>
      <w:r w:rsidRPr="00510943">
        <w:t xml:space="preserve"> = 70 mm. In turn, the beam diameter was close to </w:t>
      </w:r>
      <w:proofErr w:type="spellStart"/>
      <w:r w:rsidRPr="00510943">
        <w:t>d</w:t>
      </w:r>
      <w:r w:rsidRPr="00510943">
        <w:rPr>
          <w:vertAlign w:val="subscript"/>
        </w:rPr>
        <w:t>b</w:t>
      </w:r>
      <w:proofErr w:type="spellEnd"/>
      <w:r w:rsidRPr="00510943">
        <w:t xml:space="preserve"> = 43 mm and the beam current density had a value </w:t>
      </w:r>
      <w:proofErr w:type="gramStart"/>
      <w:r w:rsidRPr="00510943">
        <w:t>of 2 kA/cm</w:t>
      </w:r>
      <w:r w:rsidRPr="00510943">
        <w:rPr>
          <w:vertAlign w:val="superscript"/>
        </w:rPr>
        <w:t>2</w:t>
      </w:r>
      <w:proofErr w:type="gramEnd"/>
      <w:r w:rsidRPr="00510943">
        <w:t>. As demonstrated by Fig.2a, the plasma density in area of the beam cross section was (3-7) 10</w:t>
      </w:r>
      <w:r w:rsidRPr="00510943">
        <w:rPr>
          <w:vertAlign w:val="superscript"/>
        </w:rPr>
        <w:t xml:space="preserve">14 </w:t>
      </w:r>
      <w:r w:rsidRPr="00510943">
        <w:t>cm</w:t>
      </w:r>
      <w:r w:rsidRPr="00510943">
        <w:rPr>
          <w:vertAlign w:val="superscript"/>
        </w:rPr>
        <w:t>-3</w:t>
      </w:r>
      <w:r w:rsidRPr="00510943">
        <w:t xml:space="preserve">. In accordance with the plasma density value, the calculated value of the upper hybrid frequency is in the range 110-200 GHz and the </w:t>
      </w:r>
      <w:proofErr w:type="gramStart"/>
      <w:r w:rsidRPr="00510943">
        <w:t>its</w:t>
      </w:r>
      <w:proofErr w:type="gramEnd"/>
      <w:r w:rsidRPr="00510943">
        <w:t xml:space="preserve"> doubled value has to be from 240 up to 400 GHz (see Fig.2b). Exactly, these </w:t>
      </w:r>
      <w:r w:rsidRPr="00510943">
        <w:rPr>
          <w:rStyle w:val="shorttext"/>
          <w:color w:val="222222"/>
          <w:lang w:val="en"/>
        </w:rPr>
        <w:t>frequency ranges were detected in spectral measurements with the usage of the polychromator (see spectra in right part of Fig. 3). The Figure 3 also demonstrates polarization of the plasma emission in these two spectral ranges. This experimental result has good coincidence with the result of a theoretical analysis given in [6, 7].</w:t>
      </w:r>
    </w:p>
    <w:p w:rsidR="00C40605" w:rsidRDefault="00C40605" w:rsidP="00C40605">
      <w:pPr>
        <w:pStyle w:val="1"/>
        <w:rPr>
          <w:szCs w:val="24"/>
        </w:rPr>
      </w:pPr>
      <w:r>
        <w:rPr>
          <w:szCs w:val="24"/>
        </w:rPr>
        <w:t>GOL-pet EXPERIMENTS WITH THE increase OF plasma density</w:t>
      </w:r>
    </w:p>
    <w:p w:rsidR="00C40605" w:rsidRDefault="00C40605" w:rsidP="00C40605">
      <w:pPr>
        <w:pStyle w:val="Paragraph"/>
        <w:rPr>
          <w:color w:val="000000"/>
        </w:rPr>
      </w:pPr>
      <w:r>
        <w:rPr>
          <w:color w:val="000000"/>
        </w:rPr>
        <w:t xml:space="preserve">Essential </w:t>
      </w:r>
      <w:r w:rsidRPr="00A31283">
        <w:rPr>
          <w:color w:val="000000"/>
        </w:rPr>
        <w:t>progress in the experiments on generation of terahertz radiation by the beam-plasma system could was provided by increasing the plasma density of on plasma column. Taking into account this prospect we had deeply reconstructed our GOL-3 facility. The schematic of a new device called GOL-PET (Plasma Emission in Terahertz range) is presented in Fig.</w:t>
      </w:r>
      <w:r>
        <w:rPr>
          <w:color w:val="000000"/>
        </w:rPr>
        <w:t>4</w:t>
      </w:r>
      <w:r w:rsidRPr="00A31283">
        <w:rPr>
          <w:color w:val="000000"/>
        </w:rPr>
        <w:t xml:space="preserve">. </w:t>
      </w:r>
    </w:p>
    <w:tbl>
      <w:tblPr>
        <w:tblW w:w="0" w:type="auto"/>
        <w:tblLayout w:type="fixed"/>
        <w:tblLook w:val="04A0" w:firstRow="1" w:lastRow="0" w:firstColumn="1" w:lastColumn="0" w:noHBand="0" w:noVBand="1"/>
      </w:tblPr>
      <w:tblGrid>
        <w:gridCol w:w="4786"/>
        <w:gridCol w:w="4678"/>
      </w:tblGrid>
      <w:tr w:rsidR="00C40605" w:rsidRPr="00DF7368" w:rsidTr="00677061">
        <w:trPr>
          <w:trHeight w:val="2585"/>
        </w:trPr>
        <w:tc>
          <w:tcPr>
            <w:tcW w:w="4786" w:type="dxa"/>
            <w:vMerge w:val="restart"/>
            <w:shd w:val="clear" w:color="auto" w:fill="auto"/>
          </w:tcPr>
          <w:p w:rsidR="00C40605" w:rsidRPr="00DF7368" w:rsidRDefault="00C40605" w:rsidP="00677061">
            <w:pPr>
              <w:pStyle w:val="Paragraph"/>
              <w:ind w:firstLine="0"/>
              <w:jc w:val="center"/>
              <w:rPr>
                <w:color w:val="000000"/>
              </w:rPr>
            </w:pPr>
            <w:r>
              <w:rPr>
                <w:noProof/>
                <w:color w:val="000000"/>
                <w:sz w:val="18"/>
                <w:szCs w:val="18"/>
                <w:lang w:val="ru-RU" w:eastAsia="ru-RU"/>
              </w:rPr>
              <w:drawing>
                <wp:inline distT="0" distB="0" distL="0" distR="0">
                  <wp:extent cx="2898775" cy="100901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775" cy="1009015"/>
                          </a:xfrm>
                          <a:prstGeom prst="rect">
                            <a:avLst/>
                          </a:prstGeom>
                          <a:noFill/>
                          <a:ln>
                            <a:noFill/>
                          </a:ln>
                        </pic:spPr>
                      </pic:pic>
                    </a:graphicData>
                  </a:graphic>
                </wp:inline>
              </w:drawing>
            </w:r>
            <w:r w:rsidRPr="006870C6">
              <w:rPr>
                <w:color w:val="000000"/>
                <w:sz w:val="18"/>
                <w:szCs w:val="18"/>
              </w:rPr>
              <w:t xml:space="preserve"> </w:t>
            </w:r>
            <w:r>
              <w:rPr>
                <w:noProof/>
                <w:color w:val="000000"/>
                <w:sz w:val="18"/>
                <w:szCs w:val="18"/>
                <w:lang w:val="ru-RU" w:eastAsia="ru-RU"/>
              </w:rPr>
              <w:drawing>
                <wp:inline distT="0" distB="0" distL="0" distR="0">
                  <wp:extent cx="2665730" cy="20015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730" cy="2001520"/>
                          </a:xfrm>
                          <a:prstGeom prst="rect">
                            <a:avLst/>
                          </a:prstGeom>
                          <a:noFill/>
                          <a:ln>
                            <a:noFill/>
                          </a:ln>
                        </pic:spPr>
                      </pic:pic>
                    </a:graphicData>
                  </a:graphic>
                </wp:inline>
              </w:drawing>
            </w:r>
          </w:p>
          <w:p w:rsidR="00C40605" w:rsidRPr="00DF7368" w:rsidRDefault="00C40605" w:rsidP="00677061">
            <w:pPr>
              <w:pStyle w:val="FigureCaption"/>
              <w:rPr>
                <w:color w:val="000000"/>
              </w:rPr>
            </w:pPr>
            <w:r w:rsidRPr="006B6199">
              <w:rPr>
                <w:b/>
              </w:rPr>
              <w:t>FIGURE</w:t>
            </w:r>
            <w:r w:rsidRPr="00DF7368">
              <w:t xml:space="preserve"> </w:t>
            </w:r>
            <w:r w:rsidRPr="00510943">
              <w:rPr>
                <w:b/>
              </w:rPr>
              <w:t>4.</w:t>
            </w:r>
            <w:r w:rsidRPr="00DF7368">
              <w:t xml:space="preserve"> Schematic of the GOL-PET experiments</w:t>
            </w:r>
            <w:r>
              <w:t xml:space="preserve"> and typical experimental shot data, </w:t>
            </w:r>
            <w:proofErr w:type="spellStart"/>
            <w:r>
              <w:t>U</w:t>
            </w:r>
            <w:r w:rsidRPr="006870C6">
              <w:rPr>
                <w:vertAlign w:val="subscript"/>
              </w:rPr>
              <w:t>det</w:t>
            </w:r>
            <w:proofErr w:type="spellEnd"/>
            <w:r>
              <w:t xml:space="preserve"> – signals from THz polychromator detectors.</w:t>
            </w:r>
          </w:p>
        </w:tc>
        <w:tc>
          <w:tcPr>
            <w:tcW w:w="4678" w:type="dxa"/>
            <w:shd w:val="clear" w:color="auto" w:fill="auto"/>
          </w:tcPr>
          <w:p w:rsidR="00C40605" w:rsidRDefault="00C40605" w:rsidP="00677061">
            <w:pPr>
              <w:pStyle w:val="Paragraph"/>
              <w:ind w:firstLine="0"/>
              <w:jc w:val="center"/>
              <w:rPr>
                <w:color w:val="000000"/>
              </w:rPr>
            </w:pPr>
            <w:r>
              <w:rPr>
                <w:noProof/>
                <w:color w:val="000000"/>
                <w:lang w:val="ru-RU" w:eastAsia="ru-RU"/>
              </w:rPr>
              <w:drawing>
                <wp:inline distT="0" distB="0" distL="0" distR="0">
                  <wp:extent cx="2777490" cy="1285240"/>
                  <wp:effectExtent l="0" t="0" r="381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b="3250"/>
                          <a:stretch>
                            <a:fillRect/>
                          </a:stretch>
                        </pic:blipFill>
                        <pic:spPr bwMode="auto">
                          <a:xfrm>
                            <a:off x="0" y="0"/>
                            <a:ext cx="2777490" cy="1285240"/>
                          </a:xfrm>
                          <a:prstGeom prst="rect">
                            <a:avLst/>
                          </a:prstGeom>
                          <a:noFill/>
                          <a:ln>
                            <a:noFill/>
                          </a:ln>
                        </pic:spPr>
                      </pic:pic>
                    </a:graphicData>
                  </a:graphic>
                </wp:inline>
              </w:drawing>
            </w:r>
          </w:p>
          <w:p w:rsidR="00C40605" w:rsidRPr="00DF7368" w:rsidRDefault="00C40605" w:rsidP="00677061">
            <w:pPr>
              <w:pStyle w:val="FigureCaption"/>
            </w:pPr>
            <w:r w:rsidRPr="006B6199">
              <w:rPr>
                <w:b/>
              </w:rPr>
              <w:t>FIGURE</w:t>
            </w:r>
            <w:r w:rsidRPr="00AA3C4D">
              <w:t xml:space="preserve"> </w:t>
            </w:r>
            <w:r w:rsidRPr="00510943">
              <w:rPr>
                <w:b/>
              </w:rPr>
              <w:t>5.</w:t>
            </w:r>
            <w:r w:rsidRPr="00AA3C4D">
              <w:t xml:space="preserve"> Plasma den</w:t>
            </w:r>
            <w:r>
              <w:t>sity distribution over diameter.</w:t>
            </w:r>
          </w:p>
        </w:tc>
      </w:tr>
      <w:tr w:rsidR="00C40605" w:rsidRPr="00DF7368" w:rsidTr="00677061">
        <w:trPr>
          <w:trHeight w:val="2962"/>
        </w:trPr>
        <w:tc>
          <w:tcPr>
            <w:tcW w:w="4786" w:type="dxa"/>
            <w:vMerge/>
            <w:shd w:val="clear" w:color="auto" w:fill="auto"/>
          </w:tcPr>
          <w:p w:rsidR="00C40605" w:rsidRPr="00DF7368" w:rsidRDefault="00C40605" w:rsidP="00677061">
            <w:pPr>
              <w:pStyle w:val="Paragraph"/>
              <w:rPr>
                <w:color w:val="000000"/>
              </w:rPr>
            </w:pPr>
          </w:p>
        </w:tc>
        <w:tc>
          <w:tcPr>
            <w:tcW w:w="4678" w:type="dxa"/>
            <w:shd w:val="clear" w:color="auto" w:fill="auto"/>
          </w:tcPr>
          <w:p w:rsidR="00C40605" w:rsidRDefault="00C40605" w:rsidP="00677061">
            <w:pPr>
              <w:pStyle w:val="Paragraph"/>
              <w:ind w:firstLine="0"/>
              <w:jc w:val="center"/>
              <w:rPr>
                <w:noProof/>
              </w:rPr>
            </w:pPr>
            <w:r>
              <w:rPr>
                <w:noProof/>
                <w:color w:val="000000"/>
                <w:lang w:val="ru-RU" w:eastAsia="ru-RU"/>
              </w:rPr>
              <w:drawing>
                <wp:inline distT="0" distB="0" distL="0" distR="0">
                  <wp:extent cx="2846705" cy="1380490"/>
                  <wp:effectExtent l="0" t="0" r="0"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4">
                            <a:extLst>
                              <a:ext uri="{28A0092B-C50C-407E-A947-70E740481C1C}">
                                <a14:useLocalDpi xmlns:a14="http://schemas.microsoft.com/office/drawing/2010/main" val="0"/>
                              </a:ext>
                            </a:extLst>
                          </a:blip>
                          <a:srcRect b="5313"/>
                          <a:stretch>
                            <a:fillRect/>
                          </a:stretch>
                        </pic:blipFill>
                        <pic:spPr bwMode="auto">
                          <a:xfrm>
                            <a:off x="0" y="0"/>
                            <a:ext cx="2846705" cy="1380490"/>
                          </a:xfrm>
                          <a:prstGeom prst="rect">
                            <a:avLst/>
                          </a:prstGeom>
                          <a:noFill/>
                          <a:ln>
                            <a:noFill/>
                          </a:ln>
                        </pic:spPr>
                      </pic:pic>
                    </a:graphicData>
                  </a:graphic>
                </wp:inline>
              </w:drawing>
            </w:r>
          </w:p>
          <w:p w:rsidR="00C40605" w:rsidRDefault="00C40605" w:rsidP="00677061">
            <w:pPr>
              <w:pStyle w:val="FigureCaption"/>
              <w:rPr>
                <w:noProof/>
              </w:rPr>
            </w:pPr>
            <w:r w:rsidRPr="006B6199">
              <w:rPr>
                <w:b/>
              </w:rPr>
              <w:t>FIGURE</w:t>
            </w:r>
            <w:r w:rsidRPr="00DF7368">
              <w:t xml:space="preserve"> </w:t>
            </w:r>
            <w:r w:rsidRPr="00510943">
              <w:rPr>
                <w:b/>
              </w:rPr>
              <w:t>6.</w:t>
            </w:r>
            <w:r w:rsidRPr="00DF7368">
              <w:t xml:space="preserve"> </w:t>
            </w:r>
            <w:r>
              <w:t>S</w:t>
            </w:r>
            <w:r w:rsidRPr="00DF7368">
              <w:t xml:space="preserve">pectrum of the radiation </w:t>
            </w:r>
            <w:r>
              <w:t>that goes out along the axis.</w:t>
            </w:r>
          </w:p>
        </w:tc>
      </w:tr>
    </w:tbl>
    <w:p w:rsidR="00C40605" w:rsidRDefault="00C40605" w:rsidP="00B1000D">
      <w:pPr>
        <w:pStyle w:val="Paragraph"/>
      </w:pPr>
    </w:p>
    <w:p w:rsidR="00C40605" w:rsidRDefault="00C40605" w:rsidP="00C40605">
      <w:pPr>
        <w:pStyle w:val="Paragraph"/>
        <w:rPr>
          <w:color w:val="000000"/>
        </w:rPr>
      </w:pPr>
      <w:r w:rsidRPr="00510943">
        <w:rPr>
          <w:color w:val="000000"/>
        </w:rPr>
        <w:t xml:space="preserve">The main advantage of the GOL-PET experiment geometry is that the plasma column length is in three times less than it was in case of the GOL-3 facility. The GOL-PET experimental conditions allow us to increase the plasma density up to </w:t>
      </w:r>
      <w:r w:rsidRPr="00510943">
        <w:rPr>
          <w:noProof/>
          <w:lang w:eastAsia="ru-RU"/>
        </w:rPr>
        <w:t>5•10</w:t>
      </w:r>
      <w:r w:rsidRPr="00510943">
        <w:rPr>
          <w:noProof/>
          <w:vertAlign w:val="superscript"/>
          <w:lang w:eastAsia="ru-RU"/>
        </w:rPr>
        <w:t>15</w:t>
      </w:r>
      <w:r w:rsidRPr="00510943">
        <w:rPr>
          <w:noProof/>
          <w:lang w:eastAsia="ru-RU"/>
        </w:rPr>
        <w:t xml:space="preserve"> cm</w:t>
      </w:r>
      <w:r w:rsidRPr="00510943">
        <w:rPr>
          <w:noProof/>
          <w:vertAlign w:val="superscript"/>
          <w:lang w:eastAsia="ru-RU"/>
        </w:rPr>
        <w:t>-3</w:t>
      </w:r>
      <w:r w:rsidRPr="00510943">
        <w:rPr>
          <w:color w:val="000000"/>
        </w:rPr>
        <w:t xml:space="preserve"> and to measure the properties of the plasma emission along the axis of the device as it is demonstrated in Fig. 4. The GOL-PET experiments have shown if the plasma density is increased from pulse to pulse of the device operation in the interval from 5•10</w:t>
      </w:r>
      <w:r w:rsidRPr="00510943">
        <w:rPr>
          <w:color w:val="000000"/>
          <w:vertAlign w:val="superscript"/>
        </w:rPr>
        <w:t>14</w:t>
      </w:r>
      <w:r w:rsidRPr="00510943">
        <w:rPr>
          <w:color w:val="000000"/>
        </w:rPr>
        <w:t xml:space="preserve"> up to 1•10</w:t>
      </w:r>
      <w:r w:rsidRPr="00510943">
        <w:rPr>
          <w:color w:val="000000"/>
          <w:vertAlign w:val="superscript"/>
        </w:rPr>
        <w:t>15</w:t>
      </w:r>
      <w:r w:rsidRPr="00510943">
        <w:rPr>
          <w:color w:val="000000"/>
        </w:rPr>
        <w:t xml:space="preserve"> cm</w:t>
      </w:r>
      <w:r w:rsidRPr="00510943">
        <w:rPr>
          <w:color w:val="000000"/>
          <w:vertAlign w:val="superscript"/>
        </w:rPr>
        <w:t>-3</w:t>
      </w:r>
      <w:r w:rsidRPr="00510943">
        <w:rPr>
          <w:color w:val="000000"/>
        </w:rPr>
        <w:t>, the direction of the terahertz emission is changed from transverse one to the longitudinal</w:t>
      </w:r>
      <w:r w:rsidRPr="00510943">
        <w:rPr>
          <w:noProof/>
          <w:lang w:eastAsia="ru-RU"/>
        </w:rPr>
        <w:t>. For the plasma density upper than 1.5•10</w:t>
      </w:r>
      <w:r w:rsidRPr="00510943">
        <w:rPr>
          <w:noProof/>
          <w:vertAlign w:val="superscript"/>
          <w:lang w:eastAsia="ru-RU"/>
        </w:rPr>
        <w:t>15</w:t>
      </w:r>
      <w:r w:rsidRPr="00510943">
        <w:rPr>
          <w:noProof/>
          <w:lang w:eastAsia="ru-RU"/>
        </w:rPr>
        <w:t xml:space="preserve"> cm</w:t>
      </w:r>
      <w:r w:rsidRPr="00510943">
        <w:rPr>
          <w:noProof/>
          <w:vertAlign w:val="superscript"/>
          <w:lang w:eastAsia="ru-RU"/>
        </w:rPr>
        <w:t>-3</w:t>
      </w:r>
      <w:r w:rsidRPr="00510943">
        <w:rPr>
          <w:noProof/>
          <w:lang w:eastAsia="ru-RU"/>
        </w:rPr>
        <w:t xml:space="preserve"> (see in Fig.5 the </w:t>
      </w:r>
      <w:r w:rsidRPr="00510943">
        <w:rPr>
          <w:noProof/>
          <w:lang w:eastAsia="ru-RU"/>
        </w:rPr>
        <w:lastRenderedPageBreak/>
        <w:t xml:space="preserve">plasma </w:t>
      </w:r>
      <w:r w:rsidRPr="00510943">
        <w:rPr>
          <w:color w:val="000000"/>
        </w:rPr>
        <w:t xml:space="preserve">density distribution </w:t>
      </w:r>
      <w:r w:rsidRPr="00510943">
        <w:rPr>
          <w:noProof/>
          <w:lang w:eastAsia="ru-RU"/>
        </w:rPr>
        <w:t>for the shot #472) the radiation flux is concentrated in the direction along the axis of the device and practically no emission in the transverse direction. Results of the spectral measurements of the radiation propagated along the axis is presented in Fig. 6 for the shot #472. One can see the spectral power density of the radiation is localized near the frequency 200 GHz that is approximately equal to the upper-hybrid frequency for the plasma density in this shot (see Fig. 2). But one can see the spectral power density for the range of the double value of the upper-hybrid frequency is lower in ten times. We suppose that the maximum of the spectral density for the doubled frequency is located in an area with higher frequency</w:t>
      </w:r>
      <w:r w:rsidRPr="00510943">
        <w:rPr>
          <w:color w:val="000000"/>
        </w:rPr>
        <w:t xml:space="preserve">. </w:t>
      </w:r>
    </w:p>
    <w:p w:rsidR="00C40605" w:rsidRDefault="00C40605" w:rsidP="00C40605">
      <w:pPr>
        <w:pStyle w:val="1"/>
        <w:rPr>
          <w:noProof/>
          <w:lang w:eastAsia="ru-RU"/>
        </w:rPr>
      </w:pPr>
      <w:r>
        <w:rPr>
          <w:szCs w:val="24"/>
        </w:rPr>
        <w:t>THEORETICAL ANALYSIS COMMENTS FOR EXPERIMENTAL RESULTS</w:t>
      </w:r>
    </w:p>
    <w:p w:rsidR="00C40605" w:rsidRPr="007536A9" w:rsidRDefault="00C40605" w:rsidP="00C40605">
      <w:pPr>
        <w:pStyle w:val="Paragraph"/>
        <w:rPr>
          <w:noProof/>
        </w:rPr>
      </w:pPr>
      <w:r w:rsidRPr="00694285">
        <w:rPr>
          <w:noProof/>
        </w:rPr>
        <w:t>It has been experimentally found that the EM emission near the doubled upper-hybrid frequency changes drastically its direction when the plasma density increases from</w:t>
      </w:r>
      <w:r>
        <w:rPr>
          <w:noProof/>
        </w:rPr>
        <w:t xml:space="preserve"> 2•10</w:t>
      </w:r>
      <w:r w:rsidRPr="0064258B">
        <w:rPr>
          <w:noProof/>
          <w:vertAlign w:val="superscript"/>
        </w:rPr>
        <w:t>14</w:t>
      </w:r>
      <w:r>
        <w:rPr>
          <w:noProof/>
        </w:rPr>
        <w:t xml:space="preserve"> cm</w:t>
      </w:r>
      <w:r w:rsidRPr="0064258B">
        <w:rPr>
          <w:noProof/>
          <w:vertAlign w:val="superscript"/>
        </w:rPr>
        <w:t>-3</w:t>
      </w:r>
      <w:r w:rsidRPr="00694285">
        <w:rPr>
          <w:noProof/>
        </w:rPr>
        <w:t xml:space="preserve"> </w:t>
      </w:r>
      <w:r w:rsidRPr="005E0A2B">
        <w:rPr>
          <w:noProof/>
          <w:sz w:val="18"/>
          <w:szCs w:val="18"/>
        </w:rPr>
        <w:t>to</w:t>
      </w:r>
      <w:r>
        <w:rPr>
          <w:noProof/>
          <w:sz w:val="18"/>
          <w:szCs w:val="18"/>
        </w:rPr>
        <w:t xml:space="preserve"> </w:t>
      </w:r>
      <w:r>
        <w:rPr>
          <w:noProof/>
        </w:rPr>
        <w:t>2•10</w:t>
      </w:r>
      <w:r w:rsidRPr="0064258B">
        <w:rPr>
          <w:noProof/>
          <w:vertAlign w:val="superscript"/>
        </w:rPr>
        <w:t>1</w:t>
      </w:r>
      <w:r>
        <w:rPr>
          <w:noProof/>
          <w:vertAlign w:val="superscript"/>
        </w:rPr>
        <w:t>5</w:t>
      </w:r>
      <w:r>
        <w:rPr>
          <w:noProof/>
        </w:rPr>
        <w:t xml:space="preserve"> cm</w:t>
      </w:r>
      <w:r w:rsidRPr="0064258B">
        <w:rPr>
          <w:noProof/>
          <w:vertAlign w:val="superscript"/>
        </w:rPr>
        <w:t>-3</w:t>
      </w:r>
      <w:r w:rsidRPr="00694285">
        <w:rPr>
          <w:noProof/>
        </w:rPr>
        <w:t>.</w:t>
      </w:r>
      <w:r w:rsidRPr="002570CF">
        <w:rPr>
          <w:noProof/>
        </w:rPr>
        <w:t xml:space="preserve"> </w:t>
      </w:r>
      <w:r>
        <w:rPr>
          <w:noProof/>
        </w:rPr>
        <w:t>T</w:t>
      </w:r>
      <w:r w:rsidRPr="007536A9">
        <w:rPr>
          <w:noProof/>
        </w:rPr>
        <w:t>he same tendency is predicted by the recently proposed theoretical model [</w:t>
      </w:r>
      <w:r>
        <w:rPr>
          <w:noProof/>
        </w:rPr>
        <w:t>6,7</w:t>
      </w:r>
      <w:r w:rsidRPr="007536A9">
        <w:rPr>
          <w:noProof/>
        </w:rPr>
        <w:t>] in which th</w:t>
      </w:r>
      <w:r>
        <w:rPr>
          <w:noProof/>
        </w:rPr>
        <w:t xml:space="preserve">is </w:t>
      </w:r>
      <w:r w:rsidRPr="007536A9">
        <w:rPr>
          <w:noProof/>
        </w:rPr>
        <w:t xml:space="preserve">emission is produced by coalescence of long-wavelength upper hybrid waves. According to this model, the power pumping into upper hybrid waves by the electron beam is saturated at a constant </w:t>
      </w:r>
      <w:r w:rsidRPr="005E0A2B">
        <w:rPr>
          <w:noProof/>
        </w:rPr>
        <w:t xml:space="preserve">level </w:t>
      </w:r>
      <w:r w:rsidRPr="00FE10A0">
        <w:rPr>
          <w:noProof/>
          <w:position w:val="-12"/>
        </w:rPr>
        <w:object w:dxaOrig="23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5pt;height:17pt" o:ole="">
            <v:imagedata r:id="rId15" o:title=""/>
          </v:shape>
          <o:OLEObject Type="Embed" ProgID="Equation.3" ShapeID="_x0000_i1025" DrawAspect="Content" ObjectID="_1535373321" r:id="rId16"/>
        </w:object>
      </w:r>
      <w:r w:rsidRPr="007536A9">
        <w:rPr>
          <w:noProof/>
        </w:rPr>
        <w:t xml:space="preserve"> which is determined by beam trapping and does not depend on </w:t>
      </w:r>
      <w:r>
        <w:rPr>
          <w:noProof/>
        </w:rPr>
        <w:t xml:space="preserve">the </w:t>
      </w:r>
      <w:r w:rsidRPr="007536A9">
        <w:rPr>
          <w:noProof/>
        </w:rPr>
        <w:t xml:space="preserve">structure </w:t>
      </w:r>
      <w:r>
        <w:rPr>
          <w:noProof/>
        </w:rPr>
        <w:t xml:space="preserve">of the pumoed </w:t>
      </w:r>
      <w:r w:rsidRPr="007536A9">
        <w:rPr>
          <w:noProof/>
        </w:rPr>
        <w:t>turbulence. Here, the electron beam has the density</w:t>
      </w:r>
      <w:r>
        <w:rPr>
          <w:noProof/>
        </w:rPr>
        <w:t xml:space="preserve"> </w:t>
      </w:r>
      <w:r w:rsidRPr="00FE10A0">
        <w:rPr>
          <w:i/>
          <w:noProof/>
        </w:rPr>
        <w:t>n</w:t>
      </w:r>
      <w:r w:rsidRPr="00FE10A0">
        <w:rPr>
          <w:i/>
          <w:noProof/>
          <w:vertAlign w:val="subscript"/>
        </w:rPr>
        <w:t>b</w:t>
      </w:r>
      <w:r w:rsidRPr="007536A9">
        <w:rPr>
          <w:noProof/>
        </w:rPr>
        <w:t xml:space="preserve">, velocity </w:t>
      </w:r>
      <w:r w:rsidRPr="00FE10A0">
        <w:rPr>
          <w:i/>
          <w:noProof/>
        </w:rPr>
        <w:t>v</w:t>
      </w:r>
      <w:r w:rsidRPr="00FE10A0">
        <w:rPr>
          <w:i/>
          <w:noProof/>
          <w:vertAlign w:val="subscript"/>
        </w:rPr>
        <w:t>b</w:t>
      </w:r>
      <w:r w:rsidRPr="007536A9">
        <w:rPr>
          <w:noProof/>
        </w:rPr>
        <w:t xml:space="preserve"> </w:t>
      </w:r>
      <w:r w:rsidRPr="005E0A2B">
        <w:rPr>
          <w:noProof/>
        </w:rPr>
        <w:t xml:space="preserve">and relativistic factor </w:t>
      </w:r>
      <w:r w:rsidRPr="00FE10A0">
        <w:rPr>
          <w:i/>
          <w:noProof/>
        </w:rPr>
        <w:t>γ</w:t>
      </w:r>
      <w:r w:rsidRPr="00FE10A0">
        <w:rPr>
          <w:i/>
          <w:noProof/>
          <w:vertAlign w:val="subscript"/>
        </w:rPr>
        <w:t>b</w:t>
      </w:r>
      <w:r w:rsidRPr="005E0A2B">
        <w:rPr>
          <w:noProof/>
        </w:rPr>
        <w:t>, and loses its energy at the length L.</w:t>
      </w:r>
      <w:r w:rsidRPr="007536A9">
        <w:rPr>
          <w:noProof/>
        </w:rPr>
        <w:t xml:space="preserve"> The power balance between different regions of turbulent spectrum allows to estimate the energy of resonant </w:t>
      </w:r>
      <w:r>
        <w:rPr>
          <w:noProof/>
        </w:rPr>
        <w:t xml:space="preserve"> </w:t>
      </w:r>
      <w:r w:rsidRPr="00FE10A0">
        <w:rPr>
          <w:i/>
          <w:noProof/>
        </w:rPr>
        <w:t>W</w:t>
      </w:r>
      <w:r w:rsidRPr="00FE10A0">
        <w:rPr>
          <w:i/>
          <w:noProof/>
          <w:vertAlign w:val="subscript"/>
        </w:rPr>
        <w:t>R</w:t>
      </w:r>
      <w:r w:rsidRPr="007536A9">
        <w:rPr>
          <w:noProof/>
        </w:rPr>
        <w:t xml:space="preserve"> and nonresonant</w:t>
      </w:r>
      <w:r>
        <w:rPr>
          <w:noProof/>
        </w:rPr>
        <w:t xml:space="preserve"> </w:t>
      </w:r>
      <w:r w:rsidRPr="00FE10A0">
        <w:rPr>
          <w:i/>
          <w:noProof/>
        </w:rPr>
        <w:t>W</w:t>
      </w:r>
      <w:r w:rsidRPr="007536A9">
        <w:rPr>
          <w:noProof/>
        </w:rPr>
        <w:t xml:space="preserve"> plasma waves, </w:t>
      </w:r>
    </w:p>
    <w:p w:rsidR="00C40605" w:rsidRPr="00ED22FC" w:rsidRDefault="00C40605" w:rsidP="00C40605">
      <w:pPr>
        <w:pStyle w:val="Paragraph"/>
      </w:pPr>
      <w:r w:rsidRPr="00ED22FC">
        <w:tab/>
      </w:r>
      <w:r>
        <w:tab/>
      </w:r>
      <w:r>
        <w:tab/>
      </w:r>
      <w:r>
        <w:tab/>
      </w:r>
      <w:r w:rsidRPr="00FE10A0">
        <w:rPr>
          <w:position w:val="-30"/>
        </w:rPr>
        <w:object w:dxaOrig="3680" w:dyaOrig="740">
          <v:shape id="_x0000_i1026" type="#_x0000_t75" style="width:161.65pt;height:31.9pt" o:ole="">
            <v:imagedata r:id="rId17" o:title=""/>
          </v:shape>
          <o:OLEObject Type="Embed" ProgID="Equation.3" ShapeID="_x0000_i1026" DrawAspect="Content" ObjectID="_1535373322" r:id="rId18"/>
        </w:object>
      </w:r>
      <w:r>
        <w:tab/>
      </w:r>
      <w:r w:rsidRPr="00ED22FC">
        <w:tab/>
        <w:t>(1)</w:t>
      </w:r>
    </w:p>
    <w:p w:rsidR="00C40605" w:rsidRPr="007536A9" w:rsidRDefault="00C40605" w:rsidP="00C40605">
      <w:pPr>
        <w:tabs>
          <w:tab w:val="center" w:pos="4800"/>
          <w:tab w:val="right" w:pos="9500"/>
        </w:tabs>
        <w:jc w:val="both"/>
        <w:rPr>
          <w:noProof/>
          <w:sz w:val="20"/>
        </w:rPr>
      </w:pPr>
      <w:r w:rsidRPr="007536A9">
        <w:rPr>
          <w:noProof/>
          <w:sz w:val="20"/>
        </w:rPr>
        <w:t xml:space="preserve"> and the characteristic size of the radiating source region in the wavenumber space, </w:t>
      </w:r>
      <w:r w:rsidRPr="007536A9">
        <w:rPr>
          <w:noProof/>
          <w:position w:val="-10"/>
          <w:sz w:val="20"/>
        </w:rPr>
        <w:object w:dxaOrig="1320" w:dyaOrig="340">
          <v:shape id="_x0000_i1027" type="#_x0000_t75" style="width:65.9pt;height:17pt" o:ole="">
            <v:imagedata r:id="rId19" o:title=""/>
          </v:shape>
          <o:OLEObject Type="Embed" ProgID="Equation.3" ShapeID="_x0000_i1027" DrawAspect="Content" ObjectID="_1535373323" r:id="rId20"/>
        </w:object>
      </w:r>
      <w:r w:rsidRPr="007536A9">
        <w:rPr>
          <w:noProof/>
          <w:sz w:val="20"/>
        </w:rPr>
        <w:t>.</w:t>
      </w:r>
    </w:p>
    <w:p w:rsidR="00C40605" w:rsidRPr="009B6EDE" w:rsidRDefault="00C40605" w:rsidP="00C40605">
      <w:pPr>
        <w:pStyle w:val="Paragraph"/>
        <w:rPr>
          <w:noProof/>
        </w:rPr>
      </w:pPr>
      <w:r w:rsidRPr="007536A9">
        <w:rPr>
          <w:noProof/>
        </w:rPr>
        <w:t xml:space="preserve">Let us estimate these values in different experimental regimes for rarefied and dense plasmas. If the plasma with the density </w:t>
      </w:r>
      <w:r>
        <w:rPr>
          <w:noProof/>
        </w:rPr>
        <w:t>n = 2•10</w:t>
      </w:r>
      <w:r w:rsidRPr="0064258B">
        <w:rPr>
          <w:noProof/>
          <w:vertAlign w:val="superscript"/>
        </w:rPr>
        <w:t>14</w:t>
      </w:r>
      <w:r>
        <w:rPr>
          <w:noProof/>
        </w:rPr>
        <w:t xml:space="preserve"> cm</w:t>
      </w:r>
      <w:r w:rsidRPr="0064258B">
        <w:rPr>
          <w:noProof/>
          <w:vertAlign w:val="superscript"/>
        </w:rPr>
        <w:t>-3</w:t>
      </w:r>
      <w:r w:rsidRPr="00694285">
        <w:rPr>
          <w:noProof/>
        </w:rPr>
        <w:t xml:space="preserve"> </w:t>
      </w:r>
      <w:r w:rsidRPr="007536A9">
        <w:rPr>
          <w:noProof/>
        </w:rPr>
        <w:t xml:space="preserve">is heated to the typical temperature </w:t>
      </w:r>
      <w:r w:rsidRPr="007536A9">
        <w:rPr>
          <w:noProof/>
          <w:position w:val="-4"/>
        </w:rPr>
        <w:object w:dxaOrig="480" w:dyaOrig="220">
          <v:shape id="_x0000_i1028" type="#_x0000_t75" style="width:23.75pt;height:11.55pt" o:ole="">
            <v:imagedata r:id="rId21" o:title=""/>
          </v:shape>
          <o:OLEObject Type="Embed" ProgID="Equation.3" ShapeID="_x0000_i1028" DrawAspect="Content" ObjectID="_1535373324" r:id="rId22"/>
        </w:object>
      </w:r>
      <w:r w:rsidRPr="007536A9">
        <w:rPr>
          <w:noProof/>
        </w:rPr>
        <w:t xml:space="preserve"> keV and confined by the strong magnetic field at which the electron cyclotron frequency equals to </w:t>
      </w:r>
      <w:r w:rsidRPr="00FE10A0">
        <w:rPr>
          <w:noProof/>
          <w:position w:val="-12"/>
        </w:rPr>
        <w:object w:dxaOrig="1060" w:dyaOrig="320">
          <v:shape id="_x0000_i1029" type="#_x0000_t75" style="width:53pt;height:16.3pt" o:ole="">
            <v:imagedata r:id="rId23" o:title=""/>
          </v:shape>
          <o:OLEObject Type="Embed" ProgID="Equation.3" ShapeID="_x0000_i1029" DrawAspect="Content" ObjectID="_1535373325" r:id="rId24"/>
        </w:object>
      </w:r>
      <w:r w:rsidRPr="007536A9">
        <w:rPr>
          <w:noProof/>
        </w:rPr>
        <w:t xml:space="preserve">, the turbulence energy reaches the level </w:t>
      </w:r>
      <w:r w:rsidRPr="00263F1C">
        <w:rPr>
          <w:noProof/>
          <w:position w:val="-6"/>
        </w:rPr>
        <w:object w:dxaOrig="1060" w:dyaOrig="260">
          <v:shape id="_x0000_i1030" type="#_x0000_t75" style="width:53pt;height:12.9pt" o:ole="">
            <v:imagedata r:id="rId25" o:title=""/>
          </v:shape>
          <o:OLEObject Type="Embed" ProgID="Equation.3" ShapeID="_x0000_i1030" DrawAspect="Content" ObjectID="_1535373326" r:id="rId26"/>
        </w:object>
      </w:r>
      <w:r w:rsidRPr="007536A9">
        <w:rPr>
          <w:noProof/>
        </w:rPr>
        <w:t xml:space="preserve"> and the energetic long-wavelength part of turbulent spectrum is restricted by the wavenumber </w:t>
      </w:r>
      <w:r w:rsidRPr="00E529CD">
        <w:rPr>
          <w:noProof/>
          <w:position w:val="-12"/>
        </w:rPr>
        <w:object w:dxaOrig="1140" w:dyaOrig="320">
          <v:shape id="_x0000_i1031" type="#_x0000_t75" style="width:57.05pt;height:16.3pt" o:ole="">
            <v:imagedata r:id="rId27" o:title=""/>
          </v:shape>
          <o:OLEObject Type="Embed" ProgID="Equation.3" ShapeID="_x0000_i1031" DrawAspect="Content" ObjectID="_1535373327" r:id="rId28"/>
        </w:object>
      </w:r>
      <w:r w:rsidRPr="007536A9">
        <w:rPr>
          <w:noProof/>
        </w:rPr>
        <w:t xml:space="preserve">. If we raise the plasma density up to </w:t>
      </w:r>
      <w:r>
        <w:rPr>
          <w:noProof/>
        </w:rPr>
        <w:t>n = 3•10</w:t>
      </w:r>
      <w:r w:rsidRPr="0064258B">
        <w:rPr>
          <w:noProof/>
          <w:vertAlign w:val="superscript"/>
        </w:rPr>
        <w:t>1</w:t>
      </w:r>
      <w:r>
        <w:rPr>
          <w:noProof/>
          <w:vertAlign w:val="superscript"/>
        </w:rPr>
        <w:t>5</w:t>
      </w:r>
      <w:r>
        <w:rPr>
          <w:noProof/>
        </w:rPr>
        <w:t xml:space="preserve"> cm</w:t>
      </w:r>
      <w:r w:rsidRPr="0064258B">
        <w:rPr>
          <w:noProof/>
          <w:vertAlign w:val="superscript"/>
        </w:rPr>
        <w:t>-3</w:t>
      </w:r>
      <w:r w:rsidRPr="00694285">
        <w:rPr>
          <w:noProof/>
        </w:rPr>
        <w:t xml:space="preserve"> </w:t>
      </w:r>
      <w:r w:rsidRPr="007536A9">
        <w:rPr>
          <w:noProof/>
        </w:rPr>
        <w:t xml:space="preserve">without changes in magnetic field and beam parameters, we transit to the regime of weaker magnetic field </w:t>
      </w:r>
      <w:r w:rsidRPr="00E529CD">
        <w:rPr>
          <w:noProof/>
          <w:position w:val="-12"/>
        </w:rPr>
        <w:object w:dxaOrig="1060" w:dyaOrig="320">
          <v:shape id="_x0000_i1032" type="#_x0000_t75" style="width:53pt;height:16.3pt" o:ole="">
            <v:imagedata r:id="rId29" o:title=""/>
          </v:shape>
          <o:OLEObject Type="Embed" ProgID="Equation.3" ShapeID="_x0000_i1032" DrawAspect="Content" ObjectID="_1535373328" r:id="rId30"/>
        </w:object>
      </w:r>
      <w:r w:rsidRPr="007536A9">
        <w:rPr>
          <w:noProof/>
        </w:rPr>
        <w:t xml:space="preserve"> and less electron temperature </w:t>
      </w:r>
      <w:r w:rsidRPr="007536A9">
        <w:rPr>
          <w:noProof/>
          <w:position w:val="-6"/>
        </w:rPr>
        <w:object w:dxaOrig="680" w:dyaOrig="240">
          <v:shape id="_x0000_i1033" type="#_x0000_t75" style="width:34.65pt;height:12.25pt" o:ole="">
            <v:imagedata r:id="rId31" o:title=""/>
          </v:shape>
          <o:OLEObject Type="Embed" ProgID="Equation.3" ShapeID="_x0000_i1033" DrawAspect="Content" ObjectID="_1535373329" r:id="rId32"/>
        </w:object>
      </w:r>
      <w:r>
        <w:rPr>
          <w:noProof/>
        </w:rPr>
        <w:t> </w:t>
      </w:r>
      <w:r w:rsidRPr="007536A9">
        <w:rPr>
          <w:noProof/>
        </w:rPr>
        <w:t xml:space="preserve">eV. In such a regime, the plasma turbulence is characterized by the same wave energy </w:t>
      </w:r>
      <w:r w:rsidRPr="00E529CD">
        <w:rPr>
          <w:noProof/>
          <w:position w:val="-6"/>
        </w:rPr>
        <w:object w:dxaOrig="1060" w:dyaOrig="260">
          <v:shape id="_x0000_i1034" type="#_x0000_t75" style="width:53pt;height:12.9pt" o:ole="">
            <v:imagedata r:id="rId33" o:title=""/>
          </v:shape>
          <o:OLEObject Type="Embed" ProgID="Equation.3" ShapeID="_x0000_i1034" DrawAspect="Content" ObjectID="_1535373330" r:id="rId34"/>
        </w:object>
      </w:r>
      <w:r w:rsidRPr="007536A9">
        <w:rPr>
          <w:noProof/>
        </w:rPr>
        <w:t xml:space="preserve">, but is distributed inside the wider wavenumber region </w:t>
      </w:r>
      <w:r w:rsidRPr="00E529CD">
        <w:rPr>
          <w:noProof/>
          <w:position w:val="-12"/>
        </w:rPr>
        <w:object w:dxaOrig="1300" w:dyaOrig="320">
          <v:shape id="_x0000_i1035" type="#_x0000_t75" style="width:65.2pt;height:16.3pt" o:ole="">
            <v:imagedata r:id="rId35" o:title=""/>
          </v:shape>
          <o:OLEObject Type="Embed" ProgID="Equation.3" ShapeID="_x0000_i1035" DrawAspect="Content" ObjectID="_1535373331" r:id="rId36"/>
        </w:object>
      </w:r>
      <w:r w:rsidRPr="007536A9">
        <w:rPr>
          <w:noProof/>
        </w:rPr>
        <w:t xml:space="preserve">. </w:t>
      </w:r>
      <w:r w:rsidRPr="005E4B17">
        <w:rPr>
          <w:noProof/>
        </w:rPr>
        <w:t xml:space="preserve">Using the theory [6, 7], we have calculated the angular distribution of radiation power of the doubled frequency that is presented in Fig. 7. This result demonstrates that the direction of the radiation can </w:t>
      </w:r>
      <w:r>
        <w:rPr>
          <w:noProof/>
        </w:rPr>
        <w:t xml:space="preserve">be </w:t>
      </w:r>
      <w:r w:rsidRPr="005E4B17">
        <w:rPr>
          <w:noProof/>
        </w:rPr>
        <w:t>change</w:t>
      </w:r>
      <w:r>
        <w:rPr>
          <w:noProof/>
        </w:rPr>
        <w:t>d</w:t>
      </w:r>
      <w:r w:rsidRPr="005E4B17">
        <w:rPr>
          <w:noProof/>
        </w:rPr>
        <w:t xml:space="preserve"> from transverse to almost longitudinal one </w:t>
      </w:r>
      <w:r>
        <w:rPr>
          <w:noProof/>
        </w:rPr>
        <w:t xml:space="preserve">by </w:t>
      </w:r>
      <w:r w:rsidRPr="005E4B17">
        <w:rPr>
          <w:noProof/>
        </w:rPr>
        <w:t>the increase of plasma density.</w:t>
      </w:r>
    </w:p>
    <w:p w:rsidR="00C40605" w:rsidRPr="00510943" w:rsidRDefault="00C40605" w:rsidP="00C40605">
      <w:pPr>
        <w:pStyle w:val="Paragraph"/>
        <w:rPr>
          <w:color w:val="000000"/>
        </w:rPr>
      </w:pPr>
      <w:r>
        <w:rPr>
          <w:noProof/>
          <w:lang w:val="ru-RU" w:eastAsia="ru-RU"/>
        </w:rPr>
        <w:drawing>
          <wp:inline distT="0" distB="0" distL="0" distR="0">
            <wp:extent cx="5219065" cy="1811655"/>
            <wp:effectExtent l="0" t="0" r="635" b="0"/>
            <wp:docPr id="23" name="Рисунок 23" descr="g2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299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9065" cy="1811655"/>
                    </a:xfrm>
                    <a:prstGeom prst="rect">
                      <a:avLst/>
                    </a:prstGeom>
                    <a:noFill/>
                    <a:ln>
                      <a:noFill/>
                    </a:ln>
                  </pic:spPr>
                </pic:pic>
              </a:graphicData>
            </a:graphic>
          </wp:inline>
        </w:drawing>
      </w:r>
    </w:p>
    <w:p w:rsidR="00C40605" w:rsidRDefault="00C40605" w:rsidP="00C40605">
      <w:pPr>
        <w:pStyle w:val="FigureCaption"/>
      </w:pPr>
      <w:proofErr w:type="gramStart"/>
      <w:r w:rsidRPr="00ED22FC">
        <w:rPr>
          <w:b/>
          <w:color w:val="000000"/>
        </w:rPr>
        <w:t>FIGURE</w:t>
      </w:r>
      <w:r w:rsidRPr="0039616C">
        <w:rPr>
          <w:color w:val="000000"/>
        </w:rPr>
        <w:t xml:space="preserve"> </w:t>
      </w:r>
      <w:r>
        <w:rPr>
          <w:color w:val="000000"/>
        </w:rPr>
        <w:t>7</w:t>
      </w:r>
      <w:r w:rsidRPr="0039616C">
        <w:rPr>
          <w:color w:val="000000"/>
        </w:rPr>
        <w:t>.</w:t>
      </w:r>
      <w:proofErr w:type="gramEnd"/>
      <w:r w:rsidRPr="0039616C">
        <w:rPr>
          <w:color w:val="000000"/>
        </w:rPr>
        <w:t xml:space="preserve"> </w:t>
      </w:r>
      <w:r w:rsidRPr="00DF7368">
        <w:rPr>
          <w:noProof/>
        </w:rPr>
        <w:t xml:space="preserve">(a) The power of the second harmonic radiation </w:t>
      </w:r>
      <w:r w:rsidR="00985A92" w:rsidRPr="00DF7368">
        <w:rPr>
          <w:noProof/>
          <w:position w:val="-6"/>
        </w:rPr>
        <w:object w:dxaOrig="580" w:dyaOrig="240">
          <v:shape id="_x0000_i1036" type="#_x0000_t75" style="width:29.2pt;height:12.25pt" o:ole="">
            <v:imagedata r:id="rId38" o:title=""/>
          </v:shape>
          <o:OLEObject Type="Embed" ProgID="Equation.3" ShapeID="_x0000_i1036" DrawAspect="Content" ObjectID="_1535373332" r:id="rId39"/>
        </w:object>
      </w:r>
      <w:r w:rsidRPr="00DF7368">
        <w:rPr>
          <w:noProof/>
        </w:rPr>
        <w:t xml:space="preserve"> emitted in a unit polar angle </w:t>
      </w:r>
      <w:r w:rsidRPr="00DF7368">
        <w:rPr>
          <w:noProof/>
          <w:position w:val="-6"/>
        </w:rPr>
        <w:object w:dxaOrig="220" w:dyaOrig="279">
          <v:shape id="_x0000_i1037" type="#_x0000_t75" style="width:11.55pt;height:14.25pt" o:ole="">
            <v:imagedata r:id="rId40" o:title=""/>
          </v:shape>
          <o:OLEObject Type="Embed" ProgID="Equation.3" ShapeID="_x0000_i1037" DrawAspect="Content" ObjectID="_1535373333" r:id="rId41"/>
        </w:object>
      </w:r>
      <w:r>
        <w:rPr>
          <w:noProof/>
        </w:rPr>
        <w:t>(in radians)</w:t>
      </w:r>
      <w:r w:rsidRPr="00DF7368">
        <w:rPr>
          <w:noProof/>
        </w:rPr>
        <w:t xml:space="preserve"> as a function of this angle in the case of low-density plasma. (b) The power </w:t>
      </w:r>
      <w:r w:rsidR="00985A92" w:rsidRPr="00DF7368">
        <w:rPr>
          <w:noProof/>
          <w:position w:val="-6"/>
        </w:rPr>
        <w:object w:dxaOrig="580" w:dyaOrig="260">
          <v:shape id="_x0000_i1038" type="#_x0000_t75" style="width:29.2pt;height:12.9pt" o:ole="">
            <v:imagedata r:id="rId42" o:title=""/>
          </v:shape>
          <o:OLEObject Type="Embed" ProgID="Equation.3" ShapeID="_x0000_i1038" DrawAspect="Content" ObjectID="_1535373334" r:id="rId43"/>
        </w:object>
      </w:r>
      <w:r w:rsidRPr="00DF7368">
        <w:rPr>
          <w:noProof/>
        </w:rPr>
        <w:t xml:space="preserve"> in the case of high plasma density.</w:t>
      </w:r>
    </w:p>
    <w:p w:rsidR="00C40605" w:rsidRDefault="00C40605" w:rsidP="00B1000D">
      <w:pPr>
        <w:pStyle w:val="Paragraph"/>
      </w:pPr>
    </w:p>
    <w:p w:rsidR="0016385D" w:rsidRPr="00075EA6" w:rsidRDefault="0016385D">
      <w:pPr>
        <w:pStyle w:val="1"/>
        <w:rPr>
          <w:rFonts w:asciiTheme="majorBidi" w:hAnsiTheme="majorBidi" w:cstheme="majorBidi"/>
        </w:rPr>
      </w:pPr>
      <w:r w:rsidRPr="00075EA6">
        <w:rPr>
          <w:rFonts w:asciiTheme="majorBidi" w:hAnsiTheme="majorBidi" w:cstheme="majorBidi"/>
        </w:rPr>
        <w:lastRenderedPageBreak/>
        <w:t>Acknowledgments</w:t>
      </w:r>
    </w:p>
    <w:p w:rsidR="00985A92" w:rsidRPr="00EC221E" w:rsidRDefault="00985A92" w:rsidP="00985A92">
      <w:pPr>
        <w:pStyle w:val="Paragraph"/>
      </w:pPr>
      <w:r w:rsidRPr="00857238">
        <w:t>This research was financially supported by RSCF under Project #14-12-00610 for the investigation of sub-terahertz emission from plasmas. The upgrade of the radiometric system was funded by the Ministry of Education and Science of RF under the State Assignment Contract #3002.</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p>
    <w:p w:rsidR="00985A92" w:rsidRPr="00B25CBC" w:rsidRDefault="00985A92" w:rsidP="00985A92">
      <w:pPr>
        <w:pStyle w:val="Reference"/>
        <w:numPr>
          <w:ilvl w:val="0"/>
          <w:numId w:val="0"/>
        </w:numPr>
        <w:ind w:firstLine="426"/>
      </w:pPr>
      <w:r>
        <w:rPr>
          <w:lang w:eastAsia="ru-RU"/>
        </w:rPr>
        <w:t xml:space="preserve">[1] </w:t>
      </w:r>
      <w:r w:rsidRPr="00B25CBC">
        <w:rPr>
          <w:lang w:eastAsia="ru-RU"/>
        </w:rPr>
        <w:t xml:space="preserve">V. L. </w:t>
      </w:r>
      <w:proofErr w:type="spellStart"/>
      <w:r w:rsidRPr="00B25CBC">
        <w:rPr>
          <w:lang w:eastAsia="ru-RU"/>
        </w:rPr>
        <w:t>Ginzburg</w:t>
      </w:r>
      <w:proofErr w:type="spellEnd"/>
      <w:r w:rsidRPr="00B25CBC">
        <w:rPr>
          <w:lang w:eastAsia="ru-RU"/>
        </w:rPr>
        <w:t xml:space="preserve"> and V. V. </w:t>
      </w:r>
      <w:proofErr w:type="spellStart"/>
      <w:r w:rsidRPr="00B25CBC">
        <w:rPr>
          <w:lang w:eastAsia="ru-RU"/>
        </w:rPr>
        <w:t>Zheleznyakov</w:t>
      </w:r>
      <w:proofErr w:type="spellEnd"/>
      <w:r w:rsidRPr="00B25CBC">
        <w:rPr>
          <w:lang w:eastAsia="ru-RU"/>
        </w:rPr>
        <w:t xml:space="preserve">, </w:t>
      </w:r>
      <w:proofErr w:type="spellStart"/>
      <w:r w:rsidRPr="00B25CBC">
        <w:rPr>
          <w:lang w:eastAsia="ru-RU"/>
        </w:rPr>
        <w:t>Sov</w:t>
      </w:r>
      <w:proofErr w:type="spellEnd"/>
      <w:r w:rsidRPr="00B25CBC">
        <w:rPr>
          <w:lang w:eastAsia="ru-RU"/>
        </w:rPr>
        <w:t xml:space="preserve">. </w:t>
      </w:r>
      <w:proofErr w:type="gramStart"/>
      <w:r w:rsidRPr="00B25CBC">
        <w:rPr>
          <w:lang w:eastAsia="ru-RU"/>
        </w:rPr>
        <w:t xml:space="preserve">Astron. </w:t>
      </w:r>
      <w:r w:rsidRPr="00985A92">
        <w:rPr>
          <w:b/>
          <w:lang w:eastAsia="ru-RU"/>
        </w:rPr>
        <w:t>2</w:t>
      </w:r>
      <w:r w:rsidRPr="00B25CBC">
        <w:rPr>
          <w:lang w:eastAsia="ru-RU"/>
        </w:rPr>
        <w:t>, 235 (1958).</w:t>
      </w:r>
      <w:proofErr w:type="gramEnd"/>
    </w:p>
    <w:p w:rsidR="00985A92" w:rsidRPr="00B25CBC" w:rsidRDefault="00985A92" w:rsidP="00985A92">
      <w:pPr>
        <w:pStyle w:val="Reference"/>
        <w:numPr>
          <w:ilvl w:val="0"/>
          <w:numId w:val="0"/>
        </w:numPr>
        <w:ind w:firstLine="426"/>
      </w:pPr>
      <w:proofErr w:type="gramStart"/>
      <w:r>
        <w:rPr>
          <w:lang w:eastAsia="ru-RU"/>
        </w:rPr>
        <w:t xml:space="preserve">[2] </w:t>
      </w:r>
      <w:r w:rsidRPr="00B25CBC">
        <w:rPr>
          <w:lang w:eastAsia="ru-RU"/>
        </w:rPr>
        <w:t xml:space="preserve">D.A. </w:t>
      </w:r>
      <w:proofErr w:type="spellStart"/>
      <w:r w:rsidRPr="00B25CBC">
        <w:rPr>
          <w:lang w:eastAsia="ru-RU"/>
        </w:rPr>
        <w:t>Gurnet</w:t>
      </w:r>
      <w:proofErr w:type="spellEnd"/>
      <w:r w:rsidRPr="00B25CBC">
        <w:rPr>
          <w:lang w:eastAsia="ru-RU"/>
        </w:rPr>
        <w:t xml:space="preserve"> and R.R. Andersen, Science </w:t>
      </w:r>
      <w:r w:rsidRPr="00985A92">
        <w:rPr>
          <w:lang w:eastAsia="ru-RU"/>
        </w:rPr>
        <w:t>194</w:t>
      </w:r>
      <w:r w:rsidRPr="00B25CBC">
        <w:rPr>
          <w:lang w:eastAsia="ru-RU"/>
        </w:rPr>
        <w:t>, 1159(1976).</w:t>
      </w:r>
      <w:proofErr w:type="gramEnd"/>
    </w:p>
    <w:p w:rsidR="00985A92" w:rsidRPr="00B25CBC" w:rsidRDefault="00985A92" w:rsidP="00985A92">
      <w:pPr>
        <w:pStyle w:val="Reference"/>
        <w:numPr>
          <w:ilvl w:val="0"/>
          <w:numId w:val="0"/>
        </w:numPr>
        <w:ind w:firstLine="426"/>
      </w:pPr>
      <w:r>
        <w:t xml:space="preserve">[3] </w:t>
      </w:r>
      <w:r w:rsidRPr="00B25CBC">
        <w:t xml:space="preserve">A.V. Arzhannikov et al., </w:t>
      </w:r>
      <w:proofErr w:type="spellStart"/>
      <w:r w:rsidRPr="00B25CBC">
        <w:t>Fus</w:t>
      </w:r>
      <w:proofErr w:type="spellEnd"/>
      <w:r w:rsidRPr="00B25CBC">
        <w:t xml:space="preserve">. </w:t>
      </w:r>
      <w:proofErr w:type="gramStart"/>
      <w:r w:rsidRPr="00B25CBC">
        <w:t xml:space="preserve">Sci. Technol., </w:t>
      </w:r>
      <w:r w:rsidRPr="00B25CBC">
        <w:rPr>
          <w:b/>
        </w:rPr>
        <w:t>59</w:t>
      </w:r>
      <w:r w:rsidRPr="00B25CBC">
        <w:t>, (No 1T), 74-77 (2011).</w:t>
      </w:r>
      <w:proofErr w:type="gramEnd"/>
    </w:p>
    <w:p w:rsidR="00985A92" w:rsidRPr="00B25CBC" w:rsidRDefault="00985A92" w:rsidP="00985A92">
      <w:pPr>
        <w:pStyle w:val="Reference"/>
        <w:numPr>
          <w:ilvl w:val="0"/>
          <w:numId w:val="0"/>
        </w:numPr>
        <w:ind w:firstLine="426"/>
        <w:rPr>
          <w:noProof/>
          <w:lang w:eastAsia="ru-RU"/>
        </w:rPr>
      </w:pPr>
      <w:r>
        <w:t xml:space="preserve">[4] </w:t>
      </w:r>
      <w:r w:rsidRPr="00B25CBC">
        <w:t xml:space="preserve">A.V. </w:t>
      </w:r>
      <w:r w:rsidRPr="00F6421F">
        <w:t>Arzhannikov</w:t>
      </w:r>
      <w:r w:rsidRPr="00B25CBC">
        <w:t xml:space="preserve"> et al., IEEE Trans. on Terahertz Science and Tech., </w:t>
      </w:r>
      <w:r w:rsidRPr="00B25CBC">
        <w:rPr>
          <w:b/>
        </w:rPr>
        <w:t>5</w:t>
      </w:r>
      <w:r w:rsidRPr="00B25CBC">
        <w:t xml:space="preserve">, (No. 3), 478-485 (2015). </w:t>
      </w:r>
    </w:p>
    <w:p w:rsidR="00985A92" w:rsidRPr="00B25CBC" w:rsidRDefault="00985A92" w:rsidP="00985A92">
      <w:pPr>
        <w:pStyle w:val="Reference"/>
        <w:numPr>
          <w:ilvl w:val="0"/>
          <w:numId w:val="0"/>
        </w:numPr>
        <w:ind w:firstLine="426"/>
        <w:rPr>
          <w:noProof/>
          <w:lang w:eastAsia="ru-RU"/>
        </w:rPr>
      </w:pPr>
      <w:r>
        <w:t xml:space="preserve">[5] </w:t>
      </w:r>
      <w:r w:rsidRPr="00B25CBC">
        <w:t xml:space="preserve">A.V. </w:t>
      </w:r>
      <w:r w:rsidRPr="00F6421F">
        <w:t>Arzhannikov</w:t>
      </w:r>
      <w:r w:rsidRPr="00B25CBC">
        <w:t xml:space="preserve"> et al., </w:t>
      </w:r>
      <w:r w:rsidRPr="00B25CBC">
        <w:rPr>
          <w:noProof/>
        </w:rPr>
        <w:t xml:space="preserve">Physica Scripta,Vol.T2'2, 303-309 (1982). </w:t>
      </w:r>
    </w:p>
    <w:p w:rsidR="00985A92" w:rsidRPr="00B25CBC" w:rsidRDefault="00985A92" w:rsidP="00985A92">
      <w:pPr>
        <w:pStyle w:val="Reference"/>
        <w:numPr>
          <w:ilvl w:val="0"/>
          <w:numId w:val="0"/>
        </w:numPr>
        <w:ind w:firstLine="426"/>
        <w:rPr>
          <w:noProof/>
          <w:lang w:eastAsia="ru-RU"/>
        </w:rPr>
      </w:pPr>
      <w:r>
        <w:rPr>
          <w:noProof/>
        </w:rPr>
        <w:t xml:space="preserve">[6] </w:t>
      </w:r>
      <w:r w:rsidRPr="00B25CBC">
        <w:rPr>
          <w:noProof/>
        </w:rPr>
        <w:t xml:space="preserve">I.V. Timofeev. </w:t>
      </w:r>
      <w:r w:rsidRPr="00B25CBC">
        <w:rPr>
          <w:iCs/>
          <w:noProof/>
        </w:rPr>
        <w:t>Physics of Plasmas</w:t>
      </w:r>
      <w:r w:rsidRPr="00B25CBC">
        <w:rPr>
          <w:noProof/>
        </w:rPr>
        <w:t xml:space="preserve">, 19:044501, 2012. </w:t>
      </w:r>
    </w:p>
    <w:p w:rsidR="00985A92" w:rsidRPr="00B25CBC" w:rsidRDefault="00985A92" w:rsidP="00985A92">
      <w:pPr>
        <w:pStyle w:val="Reference"/>
        <w:numPr>
          <w:ilvl w:val="0"/>
          <w:numId w:val="0"/>
        </w:numPr>
        <w:ind w:firstLine="426"/>
        <w:rPr>
          <w:noProof/>
          <w:lang w:eastAsia="ru-RU"/>
        </w:rPr>
      </w:pPr>
      <w:proofErr w:type="gramStart"/>
      <w:r>
        <w:rPr>
          <w:noProof/>
        </w:rPr>
        <w:t xml:space="preserve">[7] </w:t>
      </w:r>
      <w:r w:rsidRPr="00B25CBC">
        <w:rPr>
          <w:noProof/>
        </w:rPr>
        <w:t xml:space="preserve">A.V. </w:t>
      </w:r>
      <w:r w:rsidRPr="00F6421F">
        <w:t>Arzhannikov</w:t>
      </w:r>
      <w:r w:rsidRPr="00B25CBC">
        <w:rPr>
          <w:noProof/>
        </w:rPr>
        <w:t xml:space="preserve"> and I.V. Timofeev.</w:t>
      </w:r>
      <w:proofErr w:type="gramEnd"/>
      <w:r w:rsidRPr="00B25CBC">
        <w:rPr>
          <w:noProof/>
        </w:rPr>
        <w:t xml:space="preserve"> </w:t>
      </w:r>
      <w:r w:rsidRPr="00B25CBC">
        <w:rPr>
          <w:iCs/>
          <w:noProof/>
        </w:rPr>
        <w:t>Plasma Physics and Controlled Fusion</w:t>
      </w:r>
      <w:r w:rsidRPr="00B25CBC">
        <w:rPr>
          <w:noProof/>
        </w:rPr>
        <w:t>, 54(10):105004, 2012.</w:t>
      </w:r>
      <w:r w:rsidRPr="00B25CBC">
        <w:rPr>
          <w:color w:val="000000"/>
        </w:rPr>
        <w:t xml:space="preserve"> </w:t>
      </w:r>
    </w:p>
    <w:p w:rsidR="00985A92" w:rsidRPr="00B25CBC" w:rsidRDefault="00985A92" w:rsidP="00985A92">
      <w:pPr>
        <w:pStyle w:val="Reference"/>
        <w:numPr>
          <w:ilvl w:val="0"/>
          <w:numId w:val="0"/>
        </w:numPr>
        <w:ind w:firstLine="426"/>
        <w:rPr>
          <w:noProof/>
          <w:lang w:eastAsia="ru-RU"/>
        </w:rPr>
      </w:pPr>
      <w:r>
        <w:t xml:space="preserve">[8] </w:t>
      </w:r>
      <w:r w:rsidRPr="00B25CBC">
        <w:t xml:space="preserve">A.V. </w:t>
      </w:r>
      <w:r w:rsidRPr="00F6421F">
        <w:t>Arzhannikov</w:t>
      </w:r>
      <w:r w:rsidRPr="00B25CBC">
        <w:t xml:space="preserve"> et al., Plasma Physics, Vol: 38, No 6, 496-505 (2012).</w:t>
      </w:r>
    </w:p>
    <w:p w:rsidR="00114AB1" w:rsidRPr="00114AB1" w:rsidRDefault="00114AB1" w:rsidP="00985A92">
      <w:pPr>
        <w:pStyle w:val="Reference"/>
        <w:numPr>
          <w:ilvl w:val="0"/>
          <w:numId w:val="0"/>
        </w:numPr>
        <w:ind w:left="426"/>
      </w:pP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F9B"/>
    <w:multiLevelType w:val="hybridMultilevel"/>
    <w:tmpl w:val="80C4586E"/>
    <w:lvl w:ilvl="0" w:tplc="063815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1"/>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94"/>
    <w:rsid w:val="00014140"/>
    <w:rsid w:val="00031EC9"/>
    <w:rsid w:val="00066FED"/>
    <w:rsid w:val="00075EA6"/>
    <w:rsid w:val="0007709F"/>
    <w:rsid w:val="00086F62"/>
    <w:rsid w:val="0009320B"/>
    <w:rsid w:val="00096AE0"/>
    <w:rsid w:val="000B1B74"/>
    <w:rsid w:val="000B3A2D"/>
    <w:rsid w:val="000B49C0"/>
    <w:rsid w:val="000E382F"/>
    <w:rsid w:val="001036BA"/>
    <w:rsid w:val="0010675E"/>
    <w:rsid w:val="001146DC"/>
    <w:rsid w:val="00114AB1"/>
    <w:rsid w:val="001230FF"/>
    <w:rsid w:val="00130BD7"/>
    <w:rsid w:val="00155B67"/>
    <w:rsid w:val="001562AF"/>
    <w:rsid w:val="00161A5B"/>
    <w:rsid w:val="0016385D"/>
    <w:rsid w:val="0016782F"/>
    <w:rsid w:val="001937E9"/>
    <w:rsid w:val="00197137"/>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71F7B"/>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2C94"/>
    <w:rsid w:val="00767B8A"/>
    <w:rsid w:val="00775481"/>
    <w:rsid w:val="007A233B"/>
    <w:rsid w:val="007B4863"/>
    <w:rsid w:val="007C65E6"/>
    <w:rsid w:val="007D406B"/>
    <w:rsid w:val="007D4407"/>
    <w:rsid w:val="007E1CA3"/>
    <w:rsid w:val="00821713"/>
    <w:rsid w:val="00827050"/>
    <w:rsid w:val="008276A6"/>
    <w:rsid w:val="0083278B"/>
    <w:rsid w:val="00834538"/>
    <w:rsid w:val="00850E89"/>
    <w:rsid w:val="008930E4"/>
    <w:rsid w:val="00893821"/>
    <w:rsid w:val="008A7B9C"/>
    <w:rsid w:val="008B4754"/>
    <w:rsid w:val="008E6A7A"/>
    <w:rsid w:val="008F1038"/>
    <w:rsid w:val="008F7046"/>
    <w:rsid w:val="009005FC"/>
    <w:rsid w:val="00943315"/>
    <w:rsid w:val="00985A92"/>
    <w:rsid w:val="009B696B"/>
    <w:rsid w:val="009B7671"/>
    <w:rsid w:val="009F056E"/>
    <w:rsid w:val="00A26DCD"/>
    <w:rsid w:val="00A314BB"/>
    <w:rsid w:val="00A32B7D"/>
    <w:rsid w:val="00A41BC6"/>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40605"/>
    <w:rsid w:val="00C56C77"/>
    <w:rsid w:val="00CB7B3E"/>
    <w:rsid w:val="00CC739D"/>
    <w:rsid w:val="00D04468"/>
    <w:rsid w:val="00D36257"/>
    <w:rsid w:val="00D4687E"/>
    <w:rsid w:val="00D53A12"/>
    <w:rsid w:val="00DB0C43"/>
    <w:rsid w:val="00DC4E25"/>
    <w:rsid w:val="00DE3354"/>
    <w:rsid w:val="00DF7DCD"/>
    <w:rsid w:val="00EB7D28"/>
    <w:rsid w:val="00EC0D0C"/>
    <w:rsid w:val="00ED4A2C"/>
    <w:rsid w:val="00EE3357"/>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shorttext">
    <w:name w:val="short_text"/>
    <w:rsid w:val="00DC4E25"/>
  </w:style>
  <w:style w:type="character" w:customStyle="1" w:styleId="alt-edited1">
    <w:name w:val="alt-edited1"/>
    <w:rsid w:val="00DC4E25"/>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customStyle="1" w:styleId="shorttext">
    <w:name w:val="short_text"/>
    <w:rsid w:val="00DC4E25"/>
  </w:style>
  <w:style w:type="character" w:customStyle="1" w:styleId="alt-edited1">
    <w:name w:val="alt-edited1"/>
    <w:rsid w:val="00DC4E25"/>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image" Target="media/image23.w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6.wmf"/><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4.emf"/><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itsky\AppData\Local\Temp\Temp1_8x11WordTemplates%20(2).zi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AECD-17C4-4CD9-BAEF-FD769525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5</Pages>
  <Words>1865</Words>
  <Characters>10071</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11913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Sinitsky</dc:creator>
  <cp:lastModifiedBy>Arzhannikov</cp:lastModifiedBy>
  <cp:revision>2</cp:revision>
  <cp:lastPrinted>2011-03-03T08:29:00Z</cp:lastPrinted>
  <dcterms:created xsi:type="dcterms:W3CDTF">2016-09-14T08:49:00Z</dcterms:created>
  <dcterms:modified xsi:type="dcterms:W3CDTF">2016-09-14T08:49:00Z</dcterms:modified>
</cp:coreProperties>
</file>